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55663">
        <w:rPr>
          <w:rFonts w:ascii="Times New Roman" w:hAnsi="Times New Roman" w:cs="Times New Roman"/>
          <w:sz w:val="24"/>
          <w:szCs w:val="24"/>
        </w:rPr>
      </w:r>
      <w:r w:rsidR="0085566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55663">
        <w:rPr>
          <w:rFonts w:ascii="Times New Roman" w:hAnsi="Times New Roman" w:cs="Times New Roman"/>
          <w:sz w:val="24"/>
          <w:szCs w:val="24"/>
        </w:rPr>
      </w:r>
      <w:r w:rsidR="0085566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855663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855663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855663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855663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855663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855663">
              <w:rPr>
                <w:rFonts w:ascii="Times New Roman" w:hAnsi="Times New Roman" w:cs="Times New Roman"/>
                <w:sz w:val="24"/>
                <w:szCs w:val="24"/>
              </w:rPr>
            </w:r>
            <w:r w:rsidR="00855663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55663">
        <w:rPr>
          <w:rFonts w:ascii="Times New Roman" w:hAnsi="Times New Roman" w:cs="Times New Roman"/>
          <w:b/>
          <w:bCs/>
        </w:rPr>
      </w:r>
      <w:r w:rsidR="0085566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55663">
        <w:rPr>
          <w:rFonts w:ascii="Times New Roman" w:hAnsi="Times New Roman" w:cs="Times New Roman"/>
          <w:b/>
          <w:bCs/>
        </w:rPr>
      </w:r>
      <w:r w:rsidR="0085566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55663">
        <w:rPr>
          <w:rFonts w:ascii="Times New Roman" w:hAnsi="Times New Roman" w:cs="Times New Roman"/>
          <w:b/>
          <w:bCs/>
        </w:rPr>
      </w:r>
      <w:r w:rsidR="0085566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  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55663">
        <w:rPr>
          <w:rFonts w:ascii="Times New Roman" w:hAnsi="Times New Roman" w:cs="Times New Roman"/>
          <w:b/>
          <w:bCs/>
        </w:rPr>
      </w:r>
      <w:r w:rsidR="00855663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55663">
        <w:rPr>
          <w:rFonts w:ascii="Times New Roman" w:hAnsi="Times New Roman" w:cs="Times New Roman"/>
          <w:b/>
          <w:bCs/>
        </w:rPr>
      </w:r>
      <w:r w:rsidR="00855663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 </w:t>
      </w:r>
      <w:r w:rsidR="00035C35">
        <w:rPr>
          <w:rFonts w:ascii="Times New Roman" w:hAnsi="Times New Roman" w:cs="Times New Roman"/>
          <w:bCs/>
        </w:rPr>
        <w:t xml:space="preserve">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55663">
        <w:rPr>
          <w:rFonts w:ascii="Times New Roman" w:hAnsi="Times New Roman" w:cs="Times New Roman"/>
          <w:b/>
          <w:bCs/>
        </w:rPr>
      </w:r>
      <w:r w:rsidR="00855663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55663" w:rsidRPr="00011662" w:rsidRDefault="00855663" w:rsidP="008556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5</w:t>
      </w:r>
      <w:r>
        <w:rPr>
          <w:rFonts w:ascii="Times New Roman" w:hAnsi="Times New Roman" w:cs="Times New Roman"/>
          <w:bCs/>
        </w:rPr>
        <w:t>. Originál nebo úředně ověřená kopie listiny prokazující způsobilost mít přístup k utajovaným informacím v souladu s právním předpisem upravujícím ochranu utajovaných informací (je-li žadatel jejím držitelem)</w:t>
      </w:r>
      <w:r>
        <w:rPr>
          <w:rStyle w:val="Znakapoznpodarou"/>
          <w:bCs/>
        </w:rPr>
        <w:footnoteReference w:id="17"/>
      </w:r>
      <w:r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>
        <w:rPr>
          <w:rStyle w:val="Znakapoznpodarou"/>
          <w:bCs/>
        </w:rPr>
        <w:footnoteReference w:id="18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             </w:t>
      </w:r>
      <w:r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855663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11662"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855663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bookmarkStart w:id="0" w:name="_GoBack"/>
      <w:bookmarkEnd w:id="0"/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4974" w:rsidRDefault="00814974" w:rsidP="00386203">
      <w:pPr>
        <w:spacing w:after="0" w:line="240" w:lineRule="auto"/>
      </w:pPr>
      <w:r>
        <w:separator/>
      </w:r>
    </w:p>
  </w:endnote>
  <w:endnote w:type="continuationSeparator" w:id="0">
    <w:p w:rsidR="00814974" w:rsidRDefault="0081497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855663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4974" w:rsidRDefault="00814974" w:rsidP="00386203">
      <w:pPr>
        <w:spacing w:after="0" w:line="240" w:lineRule="auto"/>
      </w:pPr>
      <w:r>
        <w:separator/>
      </w:r>
    </w:p>
  </w:footnote>
  <w:footnote w:type="continuationSeparator" w:id="0">
    <w:p w:rsidR="00814974" w:rsidRDefault="00814974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855663" w:rsidRDefault="00855663" w:rsidP="0085566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(Důvěrné, Tajné nebo Přísně tajné) podle zákona č. 412/2005 Sb., o ochraně utajovaných informací a bezpečnostní způsobilosti.</w:t>
      </w:r>
    </w:p>
  </w:footnote>
  <w:footnote w:id="18">
    <w:p w:rsidR="00855663" w:rsidRDefault="00855663" w:rsidP="00855663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rPr>
          <w:rFonts w:ascii="Times New Roman" w:hAnsi="Times New Roman" w:cs="Times New Roman"/>
        </w:rPr>
        <w:t xml:space="preserve"> Nedoložení listiny k žádosti není důvodem pro vyřazení žádosti z výběrového řízení. Pokud je požadována způsobilost seznamovat se s utajovanými informacemi stupně utajení Důvěrné, Tajné nebo Přísně tajné, je žadatel povinen nejpozději před vydáním rozhodnutí o přijetí do služebního poměru a zařazení na služební místo doložit, že alespoň požádal o vydání osvědčení pro příslušný stupeň utajení.</w:t>
      </w:r>
      <w:r>
        <w:t xml:space="preserve"> 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04FB8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0BC3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0B5C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4974"/>
    <w:rsid w:val="008152E4"/>
    <w:rsid w:val="008331B2"/>
    <w:rsid w:val="0083734B"/>
    <w:rsid w:val="00847FC9"/>
    <w:rsid w:val="00853F1D"/>
    <w:rsid w:val="00855663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E6B4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DF77C5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BC6B2A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5FBB72F-F8BA-40E0-AA1B-F9A8F29FD0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999</Words>
  <Characters>5898</Characters>
  <Application>Microsoft Office Word</Application>
  <DocSecurity>0</DocSecurity>
  <Lines>49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BAĎUROVÁ Miloslava, Ing.</cp:lastModifiedBy>
  <cp:revision>5</cp:revision>
  <cp:lastPrinted>2017-09-14T15:19:00Z</cp:lastPrinted>
  <dcterms:created xsi:type="dcterms:W3CDTF">2019-12-21T19:03:00Z</dcterms:created>
  <dcterms:modified xsi:type="dcterms:W3CDTF">2021-01-07T12:16:00Z</dcterms:modified>
</cp:coreProperties>
</file>