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>odborného referenta/vrchního referenta v oddělení řízení</w:t>
      </w:r>
      <w:r w:rsidR="001A0140">
        <w:rPr>
          <w:rFonts w:ascii="Arial" w:hAnsi="Arial" w:cs="Arial"/>
          <w:b/>
          <w:sz w:val="24"/>
          <w:szCs w:val="24"/>
        </w:rPr>
        <w:t>, metodiky a </w:t>
      </w:r>
      <w:r w:rsidR="001A0140" w:rsidRPr="001A0140">
        <w:rPr>
          <w:rFonts w:ascii="Arial" w:hAnsi="Arial" w:cs="Arial"/>
          <w:b/>
          <w:sz w:val="24"/>
          <w:szCs w:val="24"/>
        </w:rPr>
        <w:t>kontroly spisové služby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CA4848">
        <w:rPr>
          <w:rFonts w:ascii="Arial" w:hAnsi="Arial" w:cs="Arial"/>
          <w:b/>
          <w:sz w:val="24"/>
          <w:szCs w:val="24"/>
        </w:rPr>
        <w:t xml:space="preserve">ministerstva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CA4848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2016-11-30T11:30:00Z</dcterms:modified>
</cp:coreProperties>
</file>