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1B8" w:rsidRPr="001E31B8" w:rsidRDefault="001E31B8" w:rsidP="001E31B8">
      <w:pPr>
        <w:suppressAutoHyphens/>
        <w:spacing w:after="0" w:line="240" w:lineRule="auto"/>
        <w:ind w:left="360"/>
        <w:jc w:val="both"/>
        <w:rPr>
          <w:rFonts w:ascii="Arial" w:eastAsia="Times New Roman" w:hAnsi="Arial" w:cs="Times New Roman"/>
          <w:b/>
          <w:sz w:val="24"/>
          <w:szCs w:val="24"/>
          <w:u w:val="single"/>
          <w:lang w:eastAsia="cs-CZ"/>
        </w:rPr>
      </w:pPr>
      <w:r w:rsidRPr="001E31B8">
        <w:rPr>
          <w:rFonts w:ascii="Arial" w:eastAsia="Times New Roman" w:hAnsi="Arial" w:cs="Times New Roman"/>
          <w:b/>
          <w:sz w:val="24"/>
          <w:szCs w:val="24"/>
          <w:u w:val="single"/>
          <w:lang w:eastAsia="cs-CZ"/>
        </w:rPr>
        <w:t>Informace z jednání TC 325 v Bruselu – JUDr. Michal Barbořík</w:t>
      </w:r>
    </w:p>
    <w:p w:rsidR="001E31B8" w:rsidRDefault="001E31B8" w:rsidP="001E31B8">
      <w:pPr>
        <w:spacing w:after="0" w:line="240" w:lineRule="auto"/>
        <w:jc w:val="both"/>
        <w:rPr>
          <w:rFonts w:ascii="Arial" w:eastAsia="Calibri" w:hAnsi="Arial" w:cs="Arial"/>
        </w:rPr>
      </w:pPr>
    </w:p>
    <w:p w:rsidR="001E31B8" w:rsidRDefault="001E31B8" w:rsidP="001E31B8">
      <w:pPr>
        <w:spacing w:after="0" w:line="240" w:lineRule="auto"/>
        <w:jc w:val="both"/>
        <w:rPr>
          <w:rFonts w:ascii="Arial" w:eastAsia="Calibri" w:hAnsi="Arial" w:cs="Arial"/>
        </w:rPr>
      </w:pPr>
    </w:p>
    <w:p w:rsidR="001E31B8" w:rsidRPr="00831955" w:rsidRDefault="001E31B8" w:rsidP="001E31B8">
      <w:pPr>
        <w:spacing w:after="0" w:line="240" w:lineRule="auto"/>
        <w:jc w:val="both"/>
        <w:rPr>
          <w:rFonts w:ascii="Arial" w:eastAsia="Calibri" w:hAnsi="Arial" w:cs="Arial"/>
        </w:rPr>
      </w:pPr>
      <w:r w:rsidRPr="00831955">
        <w:rPr>
          <w:rFonts w:ascii="Arial" w:eastAsia="Calibri" w:hAnsi="Arial" w:cs="Arial"/>
        </w:rPr>
        <w:t>Ode dne 1. 7. 2016 je platná i účinná vzájemná Smlouva o spolupráci mezi MV a Úřadem pro technickou normalizaci, metrologii a státní zkušebnictví, která byla během celého roku 2018 naplňována, organizační složkou státu v resortu Ministerstva průmyslu a obchodu (dále jen „UNMZ“). Smluvní strany se dohodly na zabezpečení odborných činností využitím kapacit ÚNMZ, které zajišťují tvorbu ČSN a přejímání harmonizovaných norem do soustavy ČSN, zejména Zajištění činnosti sekretariátu CEN/TC 325 Prevence proti kriminalitě při plánování městské výstavby a navrhování budov. Předmětem této smlouvy je stanovení formy a obsahu spolupráce smluvních stran při zajištění činností souvisejících s tvorbou ČSN, přejímáním harmonizovaných technických norem do soustavy ČSN včetně mezinárodní spolupráce při tvorbě a revizích technických norem z oblasti prevence kriminality a zejména se zajištěním činnosti sekretariátu CEN/TC 325 Prevence proti kriminalitě při plánování městské výstavby a navrhování budov.</w:t>
      </w:r>
    </w:p>
    <w:p w:rsidR="001E31B8" w:rsidRPr="00831955" w:rsidRDefault="001E31B8" w:rsidP="001E31B8">
      <w:pPr>
        <w:spacing w:after="0" w:line="240" w:lineRule="auto"/>
        <w:jc w:val="both"/>
        <w:rPr>
          <w:rFonts w:ascii="Arial" w:eastAsia="Calibri" w:hAnsi="Arial" w:cs="Arial"/>
        </w:rPr>
      </w:pPr>
      <w:r w:rsidRPr="00831955">
        <w:rPr>
          <w:rFonts w:ascii="Arial" w:eastAsia="Calibri" w:hAnsi="Arial" w:cs="Arial"/>
        </w:rPr>
        <w:t>ÚNMZ se zavazuje zabezpečit činnost Sekretariátu CEN/TC 325 Prevence proti kriminalitě při plánování městské výstavby a navrhování budov a další činnosti související se zajištěním tvorby a revizí českých technických norem na základě této Smlouvy ve 4 základních oblastech:</w:t>
      </w:r>
    </w:p>
    <w:p w:rsidR="001E31B8" w:rsidRPr="00831955" w:rsidRDefault="001E31B8" w:rsidP="001E31B8">
      <w:pPr>
        <w:numPr>
          <w:ilvl w:val="0"/>
          <w:numId w:val="1"/>
        </w:numPr>
        <w:spacing w:line="240" w:lineRule="auto"/>
        <w:contextualSpacing/>
        <w:jc w:val="both"/>
        <w:rPr>
          <w:rFonts w:ascii="Arial" w:eastAsia="Calibri" w:hAnsi="Arial" w:cs="Arial"/>
        </w:rPr>
      </w:pPr>
      <w:r w:rsidRPr="00831955">
        <w:rPr>
          <w:rFonts w:ascii="Arial" w:eastAsia="Calibri" w:hAnsi="Arial" w:cs="Arial"/>
        </w:rPr>
        <w:t>v oblasti zajišťování činnosti sekretariátu CEN/TC 325 Prevence proti kriminalitě při plánování městské výstavby a navrhování budov, mezinárodní spolupráce vyplývající z povinností zástupců v jednotlivých komisích CEN/TC, případně ISO/TC;</w:t>
      </w:r>
    </w:p>
    <w:p w:rsidR="001E31B8" w:rsidRPr="00831955" w:rsidRDefault="001E31B8" w:rsidP="001E31B8">
      <w:pPr>
        <w:numPr>
          <w:ilvl w:val="0"/>
          <w:numId w:val="1"/>
        </w:numPr>
        <w:spacing w:line="240" w:lineRule="auto"/>
        <w:contextualSpacing/>
        <w:jc w:val="both"/>
        <w:rPr>
          <w:rFonts w:ascii="Arial" w:eastAsia="Calibri" w:hAnsi="Arial" w:cs="Arial"/>
        </w:rPr>
      </w:pPr>
      <w:r w:rsidRPr="00831955">
        <w:rPr>
          <w:rFonts w:ascii="Arial" w:eastAsia="Calibri" w:hAnsi="Arial" w:cs="Arial"/>
        </w:rPr>
        <w:t>v oblasti zpracování souhrnných zpráv a informací o činnosti jednotlivých pracovních skupin WG;</w:t>
      </w:r>
    </w:p>
    <w:p w:rsidR="001E31B8" w:rsidRPr="00831955" w:rsidRDefault="001E31B8" w:rsidP="001E31B8">
      <w:pPr>
        <w:numPr>
          <w:ilvl w:val="0"/>
          <w:numId w:val="1"/>
        </w:numPr>
        <w:spacing w:line="240" w:lineRule="auto"/>
        <w:contextualSpacing/>
        <w:jc w:val="both"/>
        <w:rPr>
          <w:rFonts w:ascii="Arial" w:eastAsia="Calibri" w:hAnsi="Arial" w:cs="Arial"/>
        </w:rPr>
      </w:pPr>
      <w:r w:rsidRPr="00831955">
        <w:rPr>
          <w:rFonts w:ascii="Arial" w:eastAsia="Calibri" w:hAnsi="Arial" w:cs="Arial"/>
        </w:rPr>
        <w:t>v oblasti zajištění účasti zástupců České republiky na důležitých jednáních jednotlivých komisí CEN/TC případně ISO/TC;</w:t>
      </w:r>
    </w:p>
    <w:p w:rsidR="001E31B8" w:rsidRPr="00831955" w:rsidRDefault="001E31B8" w:rsidP="001E31B8">
      <w:pPr>
        <w:numPr>
          <w:ilvl w:val="0"/>
          <w:numId w:val="1"/>
        </w:numPr>
        <w:spacing w:line="240" w:lineRule="auto"/>
        <w:contextualSpacing/>
        <w:jc w:val="both"/>
        <w:rPr>
          <w:rFonts w:ascii="Arial" w:eastAsia="Calibri" w:hAnsi="Arial" w:cs="Arial"/>
        </w:rPr>
      </w:pPr>
      <w:r w:rsidRPr="00831955">
        <w:rPr>
          <w:rFonts w:ascii="Arial" w:eastAsia="Calibri" w:hAnsi="Arial" w:cs="Arial"/>
        </w:rPr>
        <w:t xml:space="preserve">v oblasti zajištění účasti na zasedáních pracovních skupin zejména CEN/TC 325, případně dalších komisí, pokud to bude potřeba. </w:t>
      </w:r>
    </w:p>
    <w:p w:rsidR="001E31B8" w:rsidRDefault="001E31B8" w:rsidP="001E31B8">
      <w:pPr>
        <w:spacing w:after="0" w:line="240" w:lineRule="auto"/>
        <w:jc w:val="both"/>
        <w:rPr>
          <w:rFonts w:ascii="Arial" w:eastAsia="Calibri" w:hAnsi="Arial" w:cs="Arial"/>
        </w:rPr>
      </w:pPr>
      <w:r w:rsidRPr="00831955">
        <w:rPr>
          <w:rFonts w:ascii="Arial" w:eastAsia="Calibri" w:hAnsi="Arial" w:cs="Arial"/>
        </w:rPr>
        <w:t>Základem je pomoc při realizaci a přípravě dalších technických norem vážících se zejména k ochraně měkkých cílů.</w:t>
      </w:r>
    </w:p>
    <w:p w:rsidR="001E31B8" w:rsidRDefault="001E31B8" w:rsidP="001E31B8">
      <w:pPr>
        <w:spacing w:after="0" w:line="240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Během roku 2018 byly organizačně a odborně zabezpečeny 2 odborné semináře s problematikou norem prevence kriminality a jejich uplatňování v procesu plánování a výstavby nových budov za účasti 100 posluchačů z celé ČR.</w:t>
      </w:r>
    </w:p>
    <w:p w:rsidR="001E31B8" w:rsidRPr="0074051D" w:rsidRDefault="001E31B8" w:rsidP="001E31B8">
      <w:pPr>
        <w:spacing w:after="0" w:line="240" w:lineRule="auto"/>
        <w:jc w:val="both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</w:rPr>
        <w:t xml:space="preserve">Zastřešením celoroční spolupráce s ÚNMZ/ČAS (Česká agentura pro standardizaci) byla </w:t>
      </w:r>
      <w:r w:rsidRPr="001E31B8">
        <w:rPr>
          <w:rFonts w:ascii="Arial" w:eastAsia="Calibri" w:hAnsi="Arial" w:cs="Arial"/>
          <w:b/>
        </w:rPr>
        <w:t>organizační a odborná příprava a poté vlastní Plenární zasedání Technické komise CEN/TC 325 „Prevence kriminality při plánování městské výstavby a navrhování budov“ a mezinárodní workshop „Ochrana veřejných prostranství a prevence kriminality“ v Bruselu ve dnech 13. – 14. 12. 2018.</w:t>
      </w:r>
      <w:r>
        <w:rPr>
          <w:rFonts w:ascii="Arial" w:eastAsia="Calibri" w:hAnsi="Arial" w:cs="Arial"/>
        </w:rPr>
        <w:t xml:space="preserve"> </w:t>
      </w:r>
      <w:r w:rsidRPr="0074051D">
        <w:rPr>
          <w:rFonts w:ascii="Arial" w:eastAsia="Calibri" w:hAnsi="Arial" w:cs="Arial"/>
        </w:rPr>
        <w:t>Technická komise CEN/TC 325 „Prevence kriminality při plánování městské výstavby a navrhování budov“ jako součást CEN – Evropské komise pro standardizaci</w:t>
      </w:r>
      <w:r>
        <w:rPr>
          <w:rFonts w:ascii="Arial" w:eastAsia="Calibri" w:hAnsi="Arial" w:cs="Arial"/>
        </w:rPr>
        <w:t xml:space="preserve"> má sekretariát v ČR.</w:t>
      </w:r>
    </w:p>
    <w:p w:rsidR="001E31B8" w:rsidRPr="0074051D" w:rsidRDefault="001E31B8" w:rsidP="001E31B8">
      <w:pPr>
        <w:spacing w:after="0" w:line="240" w:lineRule="auto"/>
        <w:jc w:val="both"/>
        <w:rPr>
          <w:rFonts w:ascii="Arial" w:eastAsia="Calibri" w:hAnsi="Arial" w:cs="Arial"/>
        </w:rPr>
      </w:pPr>
      <w:r w:rsidRPr="0074051D">
        <w:rPr>
          <w:rFonts w:ascii="Arial" w:eastAsia="Calibri" w:hAnsi="Arial" w:cs="Arial"/>
        </w:rPr>
        <w:t>CEN – Evropská komise pro standardizaci (vystupující společně s CENELEC – Evropskou komisí pro elektronickou standardizaci) nastavuje společně standardy (normy) pro výrobky (včetně staveb) a služby v rámci jednotného evropského trhu. Jejími členy je 34 národních standardizačních orgánů a na její činnosti se podílejí experti z veřejné správy, soukromého sektoru, výzkumu, akademické sféry, spotřebitelských organizací ad.</w:t>
      </w:r>
    </w:p>
    <w:p w:rsidR="001E31B8" w:rsidRPr="0074051D" w:rsidRDefault="001E31B8" w:rsidP="001E31B8">
      <w:pPr>
        <w:spacing w:after="0" w:line="240" w:lineRule="auto"/>
        <w:jc w:val="both"/>
        <w:rPr>
          <w:rFonts w:ascii="Arial" w:eastAsia="Calibri" w:hAnsi="Arial" w:cs="Arial"/>
        </w:rPr>
      </w:pPr>
      <w:r w:rsidRPr="0074051D">
        <w:rPr>
          <w:rFonts w:ascii="Arial" w:eastAsia="Calibri" w:hAnsi="Arial" w:cs="Arial"/>
        </w:rPr>
        <w:t>Za ČR se na její činnosti podílí ÚNMZ (Úřad pro technickou normalizaci, metrologii a státní zkušebnictví) společně s </w:t>
      </w:r>
      <w:proofErr w:type="gramStart"/>
      <w:r w:rsidRPr="0074051D">
        <w:rPr>
          <w:rFonts w:ascii="Arial" w:eastAsia="Calibri" w:hAnsi="Arial" w:cs="Arial"/>
        </w:rPr>
        <w:t>ČAS</w:t>
      </w:r>
      <w:proofErr w:type="gramEnd"/>
      <w:r w:rsidRPr="0074051D">
        <w:rPr>
          <w:rFonts w:ascii="Arial" w:eastAsia="Calibri" w:hAnsi="Arial" w:cs="Arial"/>
        </w:rPr>
        <w:t xml:space="preserve"> (Česká agentura pro standardizaci; státní příspěvková organizace zřízená ÚNMZ za účelem tvorby, vydávání a distribuce technických norem). OPK MV se podílí na činnosti ÚNMZ a ČAS v oblasti norem prevence kriminality, zejména prostřednictvím Technické normalizační komise (TNK) 148 „Prevence kriminality a ochrana obyvatel“.</w:t>
      </w:r>
    </w:p>
    <w:p w:rsidR="001E31B8" w:rsidRPr="0074051D" w:rsidRDefault="001E31B8" w:rsidP="001E31B8">
      <w:pPr>
        <w:spacing w:after="0" w:line="240" w:lineRule="auto"/>
        <w:jc w:val="both"/>
        <w:rPr>
          <w:rFonts w:ascii="Arial" w:eastAsia="Calibri" w:hAnsi="Arial" w:cs="Arial"/>
        </w:rPr>
      </w:pPr>
      <w:r w:rsidRPr="0074051D">
        <w:rPr>
          <w:rFonts w:ascii="Arial" w:eastAsia="Calibri" w:hAnsi="Arial" w:cs="Arial"/>
        </w:rPr>
        <w:t xml:space="preserve">Česká republika (ÚNMZ) má prestižní funkci sekretariátu CEN/TC 325 „Prevence kriminality při plánování městské výstavby a navrhování budov“ a jejích pracovních skupin (WG). OPK MV má s ÚNMZ uzavřenu smlouvu o spolupráci (od druhé poloviny roku 2016), na jejímž základě se podílí na zajišťování činnosti sekretariátu, na tvorbě plánu činnosti a tvorbě </w:t>
      </w:r>
      <w:r w:rsidRPr="0074051D">
        <w:rPr>
          <w:rFonts w:ascii="Arial" w:eastAsia="Calibri" w:hAnsi="Arial" w:cs="Arial"/>
        </w:rPr>
        <w:lastRenderedPageBreak/>
        <w:t>výstupů CEN/TC 325 a jejích WG, pořádání odborného semináře pro české odborníky v oblasti technických norem prevence kriminality a zajišťování průběžné publicity v této oblasti.</w:t>
      </w:r>
    </w:p>
    <w:p w:rsidR="001E31B8" w:rsidRPr="0074051D" w:rsidRDefault="001E31B8" w:rsidP="001E31B8">
      <w:pPr>
        <w:spacing w:after="0" w:line="240" w:lineRule="auto"/>
        <w:jc w:val="both"/>
        <w:rPr>
          <w:rFonts w:ascii="Arial" w:eastAsia="Calibri" w:hAnsi="Arial" w:cs="Arial"/>
        </w:rPr>
      </w:pPr>
      <w:r w:rsidRPr="0074051D">
        <w:rPr>
          <w:rFonts w:ascii="Arial" w:eastAsia="Calibri" w:hAnsi="Arial" w:cs="Arial"/>
        </w:rPr>
        <w:t>V roce 2018 byl dokončen první krok revitalizace činnosti CEN/TC 325, kdy bylo obnoveno kompletní složení a zajištěno řádné fungování CEN/TC 325 a všech jejích pracovních skupin, byli jmenováni jejich předsedové, sekretariáty a ti se ujali plnění povinností.</w:t>
      </w:r>
    </w:p>
    <w:p w:rsidR="001E31B8" w:rsidRPr="0074051D" w:rsidRDefault="001E31B8" w:rsidP="001E31B8">
      <w:pPr>
        <w:spacing w:after="0" w:line="240" w:lineRule="auto"/>
        <w:jc w:val="both"/>
        <w:rPr>
          <w:rFonts w:ascii="Arial" w:eastAsia="Calibri" w:hAnsi="Arial" w:cs="Arial"/>
        </w:rPr>
      </w:pPr>
      <w:r w:rsidRPr="0074051D">
        <w:rPr>
          <w:rFonts w:ascii="Arial" w:eastAsia="Calibri" w:hAnsi="Arial" w:cs="Arial"/>
        </w:rPr>
        <w:t>V rámci plenárního zasedání CEN/TC 325 dne 13. 12. 2018 došlo k druhému kroku nezbytnému pro revitalizaci činnosti, kdy členové se dohodli na formálních procedurách pro činnost CEN/TC 325 a jejích WG a byla přijata rozhodnutí směřovaná k ÚNMZ jako sekretariátu CEN/TC 325 s úkoly pro vytvoření efektivní správy činnosti CEN/TC 325:</w:t>
      </w:r>
    </w:p>
    <w:p w:rsidR="001E31B8" w:rsidRPr="0074051D" w:rsidRDefault="001E31B8" w:rsidP="001E31B8">
      <w:pPr>
        <w:numPr>
          <w:ilvl w:val="0"/>
          <w:numId w:val="2"/>
        </w:numPr>
        <w:spacing w:after="0" w:line="240" w:lineRule="auto"/>
        <w:jc w:val="both"/>
        <w:rPr>
          <w:rFonts w:ascii="Arial" w:eastAsia="Calibri" w:hAnsi="Arial" w:cs="Arial"/>
        </w:rPr>
      </w:pPr>
      <w:r w:rsidRPr="0074051D">
        <w:rPr>
          <w:rFonts w:ascii="Arial" w:eastAsia="Calibri" w:hAnsi="Arial" w:cs="Arial"/>
        </w:rPr>
        <w:t>Vytvořit integrovaný plán pro práci s technickými normami CEN.</w:t>
      </w:r>
    </w:p>
    <w:p w:rsidR="001E31B8" w:rsidRPr="0074051D" w:rsidRDefault="001E31B8" w:rsidP="001E31B8">
      <w:pPr>
        <w:numPr>
          <w:ilvl w:val="0"/>
          <w:numId w:val="2"/>
        </w:numPr>
        <w:spacing w:after="0" w:line="240" w:lineRule="auto"/>
        <w:jc w:val="both"/>
        <w:rPr>
          <w:rFonts w:ascii="Arial" w:eastAsia="Calibri" w:hAnsi="Arial" w:cs="Arial"/>
        </w:rPr>
      </w:pPr>
      <w:r w:rsidRPr="0074051D">
        <w:rPr>
          <w:rFonts w:ascii="Arial" w:eastAsia="Calibri" w:hAnsi="Arial" w:cs="Arial"/>
        </w:rPr>
        <w:t>Prohlubovat spolupráci zainteresovaných stran.</w:t>
      </w:r>
    </w:p>
    <w:p w:rsidR="001E31B8" w:rsidRPr="0074051D" w:rsidRDefault="001E31B8" w:rsidP="001E31B8">
      <w:pPr>
        <w:numPr>
          <w:ilvl w:val="0"/>
          <w:numId w:val="2"/>
        </w:numPr>
        <w:spacing w:after="0" w:line="240" w:lineRule="auto"/>
        <w:jc w:val="both"/>
        <w:rPr>
          <w:rFonts w:ascii="Arial" w:eastAsia="Calibri" w:hAnsi="Arial" w:cs="Arial"/>
        </w:rPr>
      </w:pPr>
      <w:r w:rsidRPr="0074051D">
        <w:rPr>
          <w:rFonts w:ascii="Arial" w:eastAsia="Calibri" w:hAnsi="Arial" w:cs="Arial"/>
        </w:rPr>
        <w:t>Zjistit více informací o možnostech finanční podpory standardizačních aktivit CEN/TC 325, zejména ze zdrojů EU.</w:t>
      </w:r>
    </w:p>
    <w:p w:rsidR="001E31B8" w:rsidRPr="0074051D" w:rsidRDefault="001E31B8" w:rsidP="001E31B8">
      <w:pPr>
        <w:numPr>
          <w:ilvl w:val="0"/>
          <w:numId w:val="2"/>
        </w:numPr>
        <w:spacing w:after="0" w:line="240" w:lineRule="auto"/>
        <w:jc w:val="both"/>
        <w:rPr>
          <w:rFonts w:ascii="Arial" w:eastAsia="Calibri" w:hAnsi="Arial" w:cs="Arial"/>
        </w:rPr>
      </w:pPr>
      <w:r w:rsidRPr="0074051D">
        <w:rPr>
          <w:rFonts w:ascii="Arial" w:eastAsia="Calibri" w:hAnsi="Arial" w:cs="Arial"/>
        </w:rPr>
        <w:t>Více propojovat relevantní normy CEN, ISO a TC ve smyslu Vídeňské úmluvy s cílem maximalizovat efektivitu práce.</w:t>
      </w:r>
    </w:p>
    <w:p w:rsidR="001E31B8" w:rsidRPr="0074051D" w:rsidRDefault="001E31B8" w:rsidP="001E31B8">
      <w:pPr>
        <w:spacing w:after="0" w:line="240" w:lineRule="auto"/>
        <w:jc w:val="both"/>
        <w:rPr>
          <w:rFonts w:ascii="Arial" w:eastAsia="Calibri" w:hAnsi="Arial" w:cs="Arial"/>
        </w:rPr>
      </w:pPr>
      <w:r w:rsidRPr="0074051D">
        <w:rPr>
          <w:rFonts w:ascii="Arial" w:eastAsia="Calibri" w:hAnsi="Arial" w:cs="Arial"/>
        </w:rPr>
        <w:t>WG 1 (Terminologie) – předseda prezentoval zprávu z činnosti WG 1, WG 1 se nyní zaměří na revizi normy týkající se názvosloví, jež je určující pro další normy.</w:t>
      </w:r>
    </w:p>
    <w:p w:rsidR="001E31B8" w:rsidRPr="0074051D" w:rsidRDefault="001E31B8" w:rsidP="001E31B8">
      <w:pPr>
        <w:spacing w:after="0" w:line="240" w:lineRule="auto"/>
        <w:jc w:val="both"/>
        <w:rPr>
          <w:rFonts w:ascii="Arial" w:eastAsia="Calibri" w:hAnsi="Arial" w:cs="Arial"/>
        </w:rPr>
      </w:pPr>
      <w:r w:rsidRPr="0074051D">
        <w:rPr>
          <w:rFonts w:ascii="Arial" w:eastAsia="Calibri" w:hAnsi="Arial" w:cs="Arial"/>
        </w:rPr>
        <w:t xml:space="preserve">WG 2 (Městská výstavba) – předseda prezentoval závěry z činnosti WG 2, WG 2 se bude soustředit na revizi technických norem (CEN v souvislostech norem ISO) týkajících se prevence kriminality a </w:t>
      </w:r>
      <w:proofErr w:type="spellStart"/>
      <w:r w:rsidRPr="0074051D">
        <w:rPr>
          <w:rFonts w:ascii="Arial" w:eastAsia="Calibri" w:hAnsi="Arial" w:cs="Arial"/>
        </w:rPr>
        <w:t>zodolnění</w:t>
      </w:r>
      <w:proofErr w:type="spellEnd"/>
      <w:r w:rsidRPr="0074051D">
        <w:rPr>
          <w:rFonts w:ascii="Arial" w:eastAsia="Calibri" w:hAnsi="Arial" w:cs="Arial"/>
        </w:rPr>
        <w:t xml:space="preserve"> bezpečnosti při městské výstavbě.</w:t>
      </w:r>
    </w:p>
    <w:p w:rsidR="001E31B8" w:rsidRPr="0074051D" w:rsidRDefault="001E31B8" w:rsidP="001E31B8">
      <w:pPr>
        <w:spacing w:after="0" w:line="240" w:lineRule="auto"/>
        <w:jc w:val="both"/>
        <w:rPr>
          <w:rFonts w:ascii="Arial" w:eastAsia="Calibri" w:hAnsi="Arial" w:cs="Arial"/>
        </w:rPr>
      </w:pPr>
      <w:r w:rsidRPr="0074051D">
        <w:rPr>
          <w:rFonts w:ascii="Arial" w:eastAsia="Calibri" w:hAnsi="Arial" w:cs="Arial"/>
        </w:rPr>
        <w:t>WG 3 (Navrhování budov) – předsedkyně představila aktuální pracovní návrh technické normy CEN/TS 14383-6 „Prevence kriminality – Městská výstavba a navrhování budov – Část 6: Školy a školská zařízení“. Návrh evropské normy vychází z překladu české normy ČSN 73 4400 „Prevence kriminality – řízení bezpečnosti při plánování, realizaci a užívání škol a školských zařízení“, která je v ČR účinná od 1. 9. 2016.</w:t>
      </w:r>
    </w:p>
    <w:p w:rsidR="001E31B8" w:rsidRPr="0074051D" w:rsidRDefault="001E31B8" w:rsidP="001E31B8">
      <w:pPr>
        <w:spacing w:after="0" w:line="240" w:lineRule="auto"/>
        <w:jc w:val="both"/>
        <w:rPr>
          <w:rFonts w:ascii="Arial" w:eastAsia="Calibri" w:hAnsi="Arial" w:cs="Arial"/>
        </w:rPr>
      </w:pPr>
      <w:r w:rsidRPr="0074051D">
        <w:rPr>
          <w:rFonts w:ascii="Arial" w:eastAsia="Calibri" w:hAnsi="Arial" w:cs="Arial"/>
        </w:rPr>
        <w:t>V této části jednání vystoupil rovněž zástupce MV</w:t>
      </w:r>
      <w:r>
        <w:rPr>
          <w:rFonts w:ascii="Arial" w:eastAsia="Calibri" w:hAnsi="Arial" w:cs="Arial"/>
        </w:rPr>
        <w:t xml:space="preserve"> – ředitel OPK JUDr. Michal Barbořík</w:t>
      </w:r>
      <w:r w:rsidRPr="0074051D">
        <w:rPr>
          <w:rFonts w:ascii="Arial" w:eastAsia="Calibri" w:hAnsi="Arial" w:cs="Arial"/>
        </w:rPr>
        <w:t>, který jednak představil formy spolupráce mezi OPK MV a národním standardizačním orgánem (ÚNMZ + ČAS) při tvorbě technických norem prevence kriminality a zapojení odborníka OPK MV do národní Technické normalizační komise 148 „Prevence kriminality a ochrana obyvatel“, jednak prezentoval důvody přijetí v rámci Evropy unikátní technické normy prevence kriminality pro školy a školská zařízení, její principy a konkrétní přínosy a úspěchy s její dosavadní aplikací. Forma zapojení OPK MV do standardizačních procesů byla ostatními účastníky vnímána velmi pozitivně a inspirativně.</w:t>
      </w:r>
    </w:p>
    <w:p w:rsidR="001E31B8" w:rsidRPr="0074051D" w:rsidRDefault="001E31B8" w:rsidP="001E31B8">
      <w:pPr>
        <w:spacing w:after="0" w:line="240" w:lineRule="auto"/>
        <w:jc w:val="both"/>
        <w:rPr>
          <w:rFonts w:ascii="Arial" w:eastAsia="Calibri" w:hAnsi="Arial" w:cs="Arial"/>
        </w:rPr>
      </w:pPr>
      <w:r w:rsidRPr="0074051D">
        <w:rPr>
          <w:rFonts w:ascii="Arial" w:eastAsia="Calibri" w:hAnsi="Arial" w:cs="Arial"/>
        </w:rPr>
        <w:t xml:space="preserve">V rámci mezinárodního odborného workshopu „Ochrana veřejných prostranství a prevence kriminality“ konaného dne 14. 12. 2018 byly prezentovány příklady dobré praxe a vize budoucího využití technických norem v oblasti prevence kriminality, zejména při ochraně budov a veřejných prostranství, a to v rámci procesů jejich plánování, výstavby, ale i užívání již stávajících objektů. Obzvláště inspirativní byl příspěvek zástupce Nizozemska s projektem na preventivní opatření k zabezpečení rodinných domů (metodika, poradenství, ale i následné prověření realizovaných opatření ze strany policejních orgánů a udělení samolepky, jakési „známky kvality“ pro domy splňující daná doporučení – u takto označených domů zásadním způsobem poklesl počet vloupání ve srovnání s neoznačenými domy, ale zároveň došlo i celkovému snížení počtu vloupání do domů). Tyto zkušenosti by mohly doplnit a zkvalitnit aktuálně realizovaný projekt PČR a MV týkající se zabezpečení domů a bytů v ČR a prevence vloupání. Konkrétně využitelná by mohla být v rámci MV i existující norská příručka s doporučeními pro dobrou spolupráci mezi soukromými bezpečnostními službami a státním sektorem (včetně vymezení rolí a spolupráce mezi SBS a policií) prezentovaná zástupkyní </w:t>
      </w:r>
      <w:proofErr w:type="spellStart"/>
      <w:r w:rsidRPr="0074051D">
        <w:rPr>
          <w:rFonts w:ascii="Arial" w:eastAsia="Calibri" w:hAnsi="Arial" w:cs="Arial"/>
        </w:rPr>
        <w:t>CoESS</w:t>
      </w:r>
      <w:proofErr w:type="spellEnd"/>
      <w:r w:rsidRPr="0074051D">
        <w:rPr>
          <w:rFonts w:ascii="Arial" w:eastAsia="Calibri" w:hAnsi="Arial" w:cs="Arial"/>
        </w:rPr>
        <w:t xml:space="preserve"> (Konfederace evropských bezpečnostních služeb).</w:t>
      </w:r>
    </w:p>
    <w:p w:rsidR="001E31B8" w:rsidRPr="0074051D" w:rsidRDefault="001E31B8" w:rsidP="001E31B8">
      <w:pPr>
        <w:spacing w:after="0" w:line="240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Též byla </w:t>
      </w:r>
      <w:r w:rsidRPr="0074051D">
        <w:rPr>
          <w:rFonts w:ascii="Arial" w:eastAsia="Calibri" w:hAnsi="Arial" w:cs="Arial"/>
        </w:rPr>
        <w:t>prezentov</w:t>
      </w:r>
      <w:r>
        <w:rPr>
          <w:rFonts w:ascii="Arial" w:eastAsia="Calibri" w:hAnsi="Arial" w:cs="Arial"/>
        </w:rPr>
        <w:t>ána</w:t>
      </w:r>
      <w:bookmarkStart w:id="0" w:name="_GoBack"/>
      <w:bookmarkEnd w:id="0"/>
      <w:r w:rsidRPr="0074051D">
        <w:rPr>
          <w:rFonts w:ascii="Arial" w:eastAsia="Calibri" w:hAnsi="Arial" w:cs="Arial"/>
        </w:rPr>
        <w:t xml:space="preserve"> bližší informace o české normě ČSN 73 4400 „Prevence kriminality – řízení bezpečnosti při plánování, realizaci a užívání škol a školských zařízení“, konkrétní ukázky z její aplikace v praxi a komplexní projekt Krajského úřadu Jihočeského kraje „Ozbrojený útočník ve škole“, který s normou rovněž intenzivně pracuje.</w:t>
      </w:r>
    </w:p>
    <w:p w:rsidR="00E13DC8" w:rsidRDefault="00E13DC8"/>
    <w:sectPr w:rsidR="00E13D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C93A19"/>
    <w:multiLevelType w:val="hybridMultilevel"/>
    <w:tmpl w:val="2626DB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933A3F"/>
    <w:multiLevelType w:val="hybridMultilevel"/>
    <w:tmpl w:val="80745432"/>
    <w:lvl w:ilvl="0" w:tplc="6D6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A14C93C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2342E18"/>
    <w:multiLevelType w:val="hybridMultilevel"/>
    <w:tmpl w:val="1810889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1B8"/>
    <w:rsid w:val="001E31B8"/>
    <w:rsid w:val="00E13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31B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31B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1190</Words>
  <Characters>7022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1</cp:revision>
  <dcterms:created xsi:type="dcterms:W3CDTF">2019-02-13T11:19:00Z</dcterms:created>
  <dcterms:modified xsi:type="dcterms:W3CDTF">2019-02-13T11:24:00Z</dcterms:modified>
</cp:coreProperties>
</file>