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D33F0">
        <w:rPr>
          <w:rFonts w:ascii="Arial" w:hAnsi="Arial" w:cs="Arial"/>
          <w:b/>
          <w:sz w:val="24"/>
          <w:szCs w:val="24"/>
        </w:rPr>
        <w:t xml:space="preserve">mezinárodní ochrany </w:t>
      </w:r>
      <w:bookmarkStart w:id="0" w:name="_GoBack"/>
      <w:bookmarkEnd w:id="0"/>
      <w:r w:rsidR="00AD33F0" w:rsidRPr="008620F0">
        <w:rPr>
          <w:rFonts w:ascii="Arial" w:hAnsi="Arial" w:cs="Arial"/>
          <w:b/>
          <w:sz w:val="24"/>
          <w:szCs w:val="24"/>
        </w:rPr>
        <w:t>Kostelec nad Orlicí</w:t>
      </w:r>
      <w:r w:rsidR="00AD33F0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AD33F0">
        <w:rPr>
          <w:rFonts w:ascii="Arial" w:hAnsi="Arial" w:cs="Arial"/>
          <w:sz w:val="24"/>
          <w:szCs w:val="24"/>
        </w:rPr>
        <w:t>m. f) zákona č. 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AD33F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2016-05-02T05:51:00Z</dcterms:modified>
</cp:coreProperties>
</file>