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FF2DAE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FF2DAE">
        <w:rPr>
          <w:rFonts w:ascii="Arial" w:hAnsi="Arial" w:cs="Arial"/>
          <w:b/>
          <w:sz w:val="24"/>
          <w:szCs w:val="24"/>
        </w:rPr>
        <w:t xml:space="preserve">dělení rozvoje </w:t>
      </w:r>
      <w:bookmarkStart w:id="0" w:name="_GoBack"/>
      <w:bookmarkEnd w:id="0"/>
      <w:r w:rsidR="00BA65C8">
        <w:rPr>
          <w:rFonts w:ascii="Arial" w:hAnsi="Arial" w:cs="Arial"/>
          <w:b/>
          <w:sz w:val="24"/>
          <w:szCs w:val="24"/>
        </w:rPr>
        <w:t xml:space="preserve">veřejné správy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17BE1-78D1-446C-85D4-DCCA9196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2015-09-09T15:21:00Z</cp:lastPrinted>
  <dcterms:created xsi:type="dcterms:W3CDTF">2015-11-16T06:37:00Z</dcterms:created>
  <dcterms:modified xsi:type="dcterms:W3CDTF">2016-01-14T14:50:00Z</dcterms:modified>
</cp:coreProperties>
</file>