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Default="00E50EDC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33  Systém</w:t>
      </w:r>
      <w:proofErr w:type="gramEnd"/>
      <w:r>
        <w:rPr>
          <w:rFonts w:ascii="Arial" w:hAnsi="Arial" w:cs="Arial"/>
          <w:sz w:val="24"/>
          <w:szCs w:val="24"/>
        </w:rPr>
        <w:t xml:space="preserve"> veřejné správy</w:t>
      </w:r>
    </w:p>
    <w:p w:rsidR="00E50EDC" w:rsidRPr="00E50EDC" w:rsidRDefault="00E50EDC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47 Společné evropské politiky podpory a</w:t>
      </w:r>
      <w:r w:rsidR="00E00EB0">
        <w:rPr>
          <w:rFonts w:ascii="Arial" w:hAnsi="Arial" w:cs="Arial"/>
          <w:sz w:val="24"/>
          <w:szCs w:val="24"/>
        </w:rPr>
        <w:t xml:space="preserve"> pomoci, evropské </w:t>
      </w:r>
      <w:proofErr w:type="gramStart"/>
      <w:r w:rsidR="00E00EB0">
        <w:rPr>
          <w:rFonts w:ascii="Arial" w:hAnsi="Arial" w:cs="Arial"/>
          <w:sz w:val="24"/>
          <w:szCs w:val="24"/>
        </w:rPr>
        <w:t>strukturální,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investiční</w:t>
      </w:r>
      <w:proofErr w:type="gramEnd"/>
      <w:r>
        <w:rPr>
          <w:rFonts w:ascii="Arial" w:hAnsi="Arial" w:cs="Arial"/>
          <w:sz w:val="24"/>
          <w:szCs w:val="24"/>
        </w:rPr>
        <w:t xml:space="preserve"> a obdobné fondy.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393" w:rsidRDefault="00C91393">
      <w:r>
        <w:separator/>
      </w:r>
    </w:p>
  </w:endnote>
  <w:endnote w:type="continuationSeparator" w:id="0">
    <w:p w:rsidR="00C91393" w:rsidRDefault="00C9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393" w:rsidRDefault="00C91393">
      <w:r>
        <w:separator/>
      </w:r>
    </w:p>
  </w:footnote>
  <w:footnote w:type="continuationSeparator" w:id="0">
    <w:p w:rsidR="00C91393" w:rsidRDefault="00C91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63D32-E96C-4A74-A86F-7B25A7EC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15</cp:revision>
  <cp:lastPrinted>2013-06-11T12:09:00Z</cp:lastPrinted>
  <dcterms:created xsi:type="dcterms:W3CDTF">2016-04-29T08:59:00Z</dcterms:created>
  <dcterms:modified xsi:type="dcterms:W3CDTF">2017-01-05T09:02:00Z</dcterms:modified>
</cp:coreProperties>
</file>