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D18D6" w:rsidRPr="002D18D6">
        <w:rPr>
          <w:rFonts w:ascii="Arial" w:hAnsi="Arial" w:cs="Arial"/>
          <w:b/>
          <w:sz w:val="24"/>
          <w:szCs w:val="24"/>
        </w:rPr>
        <w:t>právního, ekonomiky a logistiky</w:t>
      </w:r>
      <w:r w:rsidR="002D18D6">
        <w:rPr>
          <w:rFonts w:ascii="Arial" w:hAnsi="Arial" w:cs="Arial"/>
          <w:b/>
          <w:sz w:val="24"/>
          <w:szCs w:val="24"/>
        </w:rPr>
        <w:t>,</w:t>
      </w:r>
      <w:r w:rsidR="002D18D6" w:rsidRPr="002D18D6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18D6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2017-01-02T17:32:00Z</cp:lastPrinted>
  <dcterms:created xsi:type="dcterms:W3CDTF">2015-11-25T09:13:00Z</dcterms:created>
  <dcterms:modified xsi:type="dcterms:W3CDTF">2017-01-02T17:32:00Z</dcterms:modified>
</cp:coreProperties>
</file>