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827D0" w:rsidTr="003827D0">
        <w:trPr>
          <w:trHeight w:val="464"/>
        </w:trPr>
        <w:tc>
          <w:tcPr>
            <w:tcW w:w="0" w:type="auto"/>
            <w:hideMark/>
          </w:tcPr>
          <w:p w:rsidR="003827D0" w:rsidRDefault="003827D0" w:rsidP="003827D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TU2RF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MVCRX04TU2RF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827D0" w:rsidTr="003827D0">
        <w:trPr>
          <w:trHeight w:val="114"/>
        </w:trPr>
        <w:tc>
          <w:tcPr>
            <w:tcW w:w="0" w:type="auto"/>
            <w:hideMark/>
          </w:tcPr>
          <w:p w:rsidR="003827D0" w:rsidRDefault="003827D0" w:rsidP="003827D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TU2RF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MVCRX04TU2RF</w:t>
            </w:r>
            <w:r>
              <w:fldChar w:fldCharType="end"/>
            </w:r>
            <w:bookmarkEnd w:id="1"/>
          </w:p>
        </w:tc>
      </w:tr>
      <w:tr w:rsidR="003827D0" w:rsidTr="003827D0">
        <w:trPr>
          <w:trHeight w:val="122"/>
        </w:trPr>
        <w:tc>
          <w:tcPr>
            <w:tcW w:w="0" w:type="auto"/>
            <w:hideMark/>
          </w:tcPr>
          <w:p w:rsidR="003827D0" w:rsidRDefault="003827D0" w:rsidP="003827D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2486E">
        <w:rPr>
          <w:rFonts w:ascii="Arial" w:hAnsi="Arial" w:cs="Arial"/>
          <w:b/>
          <w:sz w:val="24"/>
          <w:szCs w:val="24"/>
        </w:rPr>
        <w:t>legislativy státní služby a legislativního procesu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827D0">
        <w:rPr>
          <w:rFonts w:ascii="Arial" w:hAnsi="Arial" w:cs="Arial"/>
        </w:rPr>
        <w:t>Č.j.</w:t>
      </w:r>
      <w:proofErr w:type="gramEnd"/>
      <w:r w:rsidR="00F94ECD" w:rsidRPr="003827D0">
        <w:rPr>
          <w:rFonts w:ascii="Arial" w:hAnsi="Arial" w:cs="Arial"/>
        </w:rPr>
        <w:t>:</w:t>
      </w:r>
      <w:r w:rsidR="00276ED4" w:rsidRPr="003827D0">
        <w:rPr>
          <w:rFonts w:ascii="Arial" w:hAnsi="Arial" w:cs="Arial"/>
        </w:rPr>
        <w:t xml:space="preserve"> </w:t>
      </w:r>
      <w:r w:rsidR="009D16A9" w:rsidRPr="003827D0">
        <w:rPr>
          <w:rFonts w:ascii="Arial" w:hAnsi="Arial" w:cs="Arial"/>
        </w:rPr>
        <w:t>MV-</w:t>
      </w:r>
      <w:r w:rsidR="003827D0" w:rsidRPr="003827D0">
        <w:rPr>
          <w:rFonts w:ascii="Arial" w:hAnsi="Arial" w:cs="Arial"/>
        </w:rPr>
        <w:t>9015</w:t>
      </w:r>
      <w:r w:rsidR="00AB7FFE" w:rsidRPr="003827D0">
        <w:rPr>
          <w:rFonts w:ascii="Arial" w:hAnsi="Arial" w:cs="Arial"/>
        </w:rPr>
        <w:t>-</w:t>
      </w:r>
      <w:r w:rsidR="003827D0">
        <w:rPr>
          <w:rFonts w:ascii="Arial" w:hAnsi="Arial" w:cs="Arial"/>
        </w:rPr>
        <w:t>3</w:t>
      </w:r>
      <w:r w:rsidR="00B02CD2" w:rsidRPr="003827D0">
        <w:rPr>
          <w:rFonts w:ascii="Arial" w:hAnsi="Arial" w:cs="Arial"/>
        </w:rPr>
        <w:t>/</w:t>
      </w:r>
      <w:r w:rsidRPr="003827D0">
        <w:rPr>
          <w:rFonts w:ascii="Arial" w:hAnsi="Arial" w:cs="Arial"/>
        </w:rPr>
        <w:t>SP-20</w:t>
      </w:r>
      <w:r w:rsidR="003827D0" w:rsidRPr="003827D0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674B7" w:rsidRPr="00635249">
        <w:rPr>
          <w:rFonts w:ascii="Arial" w:hAnsi="Arial" w:cs="Arial"/>
        </w:rPr>
        <w:t>1</w:t>
      </w:r>
      <w:r w:rsidR="00F50535">
        <w:rPr>
          <w:rFonts w:ascii="Arial" w:hAnsi="Arial" w:cs="Arial"/>
        </w:rPr>
        <w:t>9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2486E">
        <w:rPr>
          <w:rFonts w:ascii="Arial" w:hAnsi="Arial" w:cs="Arial"/>
          <w:b/>
        </w:rPr>
        <w:t>legislativy státní služby a legislativního procesu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2486E">
        <w:rPr>
          <w:rFonts w:ascii="Arial" w:hAnsi="Arial" w:cs="Arial"/>
          <w:b/>
        </w:rPr>
        <w:t>30362019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62486E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63. Organizační věci státní služby a správa služebních vztahů státních </w:t>
      </w:r>
      <w:proofErr w:type="gramStart"/>
      <w:r>
        <w:rPr>
          <w:rFonts w:ascii="Arial" w:hAnsi="Arial" w:cs="Arial"/>
          <w:i/>
        </w:rPr>
        <w:t>zaměstnanců,   příslušníků</w:t>
      </w:r>
      <w:proofErr w:type="gramEnd"/>
      <w:r>
        <w:rPr>
          <w:rFonts w:ascii="Arial" w:hAnsi="Arial" w:cs="Arial"/>
          <w:i/>
        </w:rPr>
        <w:t xml:space="preserve">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B95073">
        <w:rPr>
          <w:rFonts w:ascii="Arial" w:hAnsi="Arial" w:cs="Arial"/>
          <w:b/>
          <w:color w:val="000000" w:themeColor="text1"/>
        </w:rPr>
        <w:t xml:space="preserve">, </w:t>
      </w:r>
      <w:r w:rsidR="00B95073">
        <w:rPr>
          <w:rFonts w:ascii="Arial" w:hAnsi="Arial" w:cs="Arial"/>
          <w:b/>
          <w:color w:val="000000" w:themeColor="text1"/>
        </w:rPr>
        <w:br/>
        <w:t xml:space="preserve">to do 30. června 2023 </w:t>
      </w:r>
      <w:r w:rsidR="00B95073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B95073">
        <w:rPr>
          <w:rFonts w:ascii="Arial" w:hAnsi="Arial" w:cs="Arial"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14979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400F8">
        <w:rPr>
          <w:rFonts w:ascii="Arial" w:hAnsi="Arial" w:cs="Arial"/>
        </w:rPr>
        <w:t xml:space="preserve">posuzování komplexních právních otázek souvisejících s otázkou platnosti a účinnosti právních předpisů pro účely Analýzy právního řádu České republiky za účelem identifikace obsoletních právních předpisů, zajišťování odborné spolupráce na technickém řešení Analýzy, spolupráce s dodavatelem veřejné zakázky, experty, orgány veřejné moci a dalšími subjekty při implementaci </w:t>
      </w:r>
      <w:r w:rsidR="004400F8">
        <w:rPr>
          <w:rFonts w:ascii="Arial" w:hAnsi="Arial" w:cs="Arial"/>
        </w:rPr>
        <w:br/>
        <w:t>a vyhodnocování Analýzy včetně zajištění kontroly a vyhodnocení zvoleného řešení, příprava návrhů právních předpisů v oblasti státní služby a legislativního procesu, jejich komplexní posuzování v připomínkovém řízení a zpracovávání komplexních stanovisek v této oblasti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A3A1A">
        <w:rPr>
          <w:rFonts w:ascii="Arial" w:hAnsi="Arial" w:cs="Arial"/>
          <w:b/>
        </w:rPr>
        <w:t>5.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A75F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A75F0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4400F8" w:rsidRPr="00EA75F0">
        <w:rPr>
          <w:rFonts w:ascii="Arial" w:hAnsi="Arial" w:cs="Arial"/>
          <w:b/>
        </w:rPr>
        <w:t>legislativy státní služby a legislativního procesu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4400F8" w:rsidRPr="00EA75F0">
        <w:rPr>
          <w:rFonts w:ascii="Arial" w:hAnsi="Arial" w:cs="Arial"/>
          <w:b/>
        </w:rPr>
        <w:t>30362019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3827D0" w:rsidRPr="003827D0">
        <w:rPr>
          <w:rFonts w:ascii="Arial" w:hAnsi="Arial" w:cs="Arial"/>
          <w:b/>
        </w:rPr>
        <w:t>MV-9015-3/SP-2020</w:t>
      </w:r>
      <w:r w:rsidRPr="00EA75F0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4D665F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Pr="004D665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A3A1A" w:rsidRDefault="007A3A1A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Tereza Šubrtová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4400F8">
        <w:rPr>
          <w:rFonts w:ascii="Arial" w:hAnsi="Arial" w:cs="Arial"/>
          <w:color w:val="000000" w:themeColor="text1"/>
        </w:rPr>
        <w:t>303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400F8" w:rsidRPr="00832BF7">
          <w:rPr>
            <w:rStyle w:val="Hypertextovodkaz"/>
            <w:rFonts w:ascii="Arial" w:hAnsi="Arial" w:cs="Arial"/>
          </w:rPr>
          <w:t>tereza.subrtova@mvcr.cz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C93" w:rsidRDefault="00E43C93" w:rsidP="00276ED4">
      <w:pPr>
        <w:spacing w:after="0" w:line="240" w:lineRule="auto"/>
      </w:pPr>
      <w:r>
        <w:separator/>
      </w:r>
    </w:p>
  </w:endnote>
  <w:endnote w:type="continuationSeparator" w:id="0">
    <w:p w:rsidR="00E43C93" w:rsidRDefault="00E43C9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827D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C93" w:rsidRDefault="00E43C93" w:rsidP="00276ED4">
      <w:pPr>
        <w:spacing w:after="0" w:line="240" w:lineRule="auto"/>
      </w:pPr>
      <w:r>
        <w:separator/>
      </w:r>
    </w:p>
  </w:footnote>
  <w:footnote w:type="continuationSeparator" w:id="0">
    <w:p w:rsidR="00E43C93" w:rsidRDefault="00E43C9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27D0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4979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506D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3A1A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3C93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8D9E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D3C9E-6DFE-4765-B4D3-6EA051D1F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1005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2018-07-31T04:43:00Z</cp:lastPrinted>
  <dcterms:created xsi:type="dcterms:W3CDTF">2019-09-14T20:54:00Z</dcterms:created>
  <dcterms:modified xsi:type="dcterms:W3CDTF">2020-01-14T07:13:00Z</dcterms:modified>
</cp:coreProperties>
</file>