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DE9941" w14:textId="77777777" w:rsidR="000F7B8B" w:rsidRPr="005609FC" w:rsidRDefault="000F7B8B" w:rsidP="000F7B8B">
      <w:pPr>
        <w:contextualSpacing/>
        <w:rPr>
          <w:rFonts w:cs="Arial"/>
        </w:rPr>
      </w:pPr>
      <w:bookmarkStart w:id="0" w:name="_GoBack"/>
      <w:bookmarkEnd w:id="0"/>
      <w:r w:rsidRPr="005609FC">
        <w:rPr>
          <w:rFonts w:cs="Arial"/>
        </w:rPr>
        <w:t xml:space="preserve">Česká republika – Ministerstvo vnitra </w:t>
      </w:r>
    </w:p>
    <w:p w14:paraId="6EAA3D92" w14:textId="77777777" w:rsidR="000F7B8B" w:rsidRPr="005609FC" w:rsidRDefault="000F7B8B" w:rsidP="000F7B8B">
      <w:pPr>
        <w:contextualSpacing/>
        <w:rPr>
          <w:rFonts w:cs="Arial"/>
        </w:rPr>
      </w:pPr>
      <w:r w:rsidRPr="005609FC">
        <w:rPr>
          <w:rFonts w:cs="Arial"/>
        </w:rPr>
        <w:t>Odbor fondů EU v oblasti vnitřních věcí</w:t>
      </w:r>
    </w:p>
    <w:p w14:paraId="1409023A" w14:textId="77777777" w:rsidR="000F7B8B" w:rsidRPr="005609FC" w:rsidRDefault="000F7B8B" w:rsidP="000F7B8B">
      <w:pPr>
        <w:contextualSpacing/>
        <w:rPr>
          <w:rFonts w:cs="Arial"/>
        </w:rPr>
      </w:pPr>
      <w:r w:rsidRPr="005609FC">
        <w:rPr>
          <w:rFonts w:cs="Arial"/>
        </w:rPr>
        <w:t>Nad Štolou 3</w:t>
      </w:r>
    </w:p>
    <w:p w14:paraId="38A72C09" w14:textId="77777777" w:rsidR="000F7B8B" w:rsidRPr="005609FC" w:rsidRDefault="000F7B8B" w:rsidP="000F7B8B">
      <w:pPr>
        <w:spacing w:after="480"/>
        <w:rPr>
          <w:rFonts w:cs="Arial"/>
        </w:rPr>
      </w:pPr>
      <w:r w:rsidRPr="005609FC">
        <w:rPr>
          <w:rFonts w:cs="Arial"/>
        </w:rPr>
        <w:t>170 34 Praha</w:t>
      </w:r>
    </w:p>
    <w:p w14:paraId="00511B42" w14:textId="77777777" w:rsidR="0099535B" w:rsidRPr="005609FC" w:rsidRDefault="0099535B" w:rsidP="000F7B8B">
      <w:pPr>
        <w:spacing w:after="480"/>
        <w:rPr>
          <w:rFonts w:cs="Arial"/>
        </w:rPr>
      </w:pPr>
      <w:r w:rsidRPr="005609FC">
        <w:rPr>
          <w:rFonts w:cs="Arial"/>
        </w:rPr>
        <w:t>jako věcně příslušný správní orgán tímto vydává</w:t>
      </w:r>
    </w:p>
    <w:p w14:paraId="428F591E" w14:textId="77777777" w:rsidR="000F7B8B" w:rsidRPr="00A219AC" w:rsidRDefault="000F7B8B" w:rsidP="000F7B8B">
      <w:pPr>
        <w:pStyle w:val="Zkladntext"/>
        <w:jc w:val="center"/>
        <w:rPr>
          <w:b/>
          <w:bCs/>
          <w:sz w:val="32"/>
          <w:szCs w:val="32"/>
        </w:rPr>
      </w:pPr>
      <w:r w:rsidRPr="00A219AC">
        <w:rPr>
          <w:b/>
          <w:sz w:val="32"/>
          <w:szCs w:val="32"/>
        </w:rPr>
        <w:t>ROZHODNUTÍ O POSKYTNUTÍ DOTACE</w:t>
      </w:r>
      <w:r w:rsidRPr="00A219AC">
        <w:rPr>
          <w:b/>
          <w:bCs/>
          <w:smallCaps/>
          <w:sz w:val="32"/>
          <w:szCs w:val="32"/>
        </w:rPr>
        <w:t xml:space="preserve"> </w:t>
      </w:r>
      <w:r w:rsidRPr="00A219AC">
        <w:rPr>
          <w:b/>
          <w:sz w:val="32"/>
          <w:szCs w:val="32"/>
        </w:rPr>
        <w:t xml:space="preserve">č. […] </w:t>
      </w:r>
    </w:p>
    <w:p w14:paraId="105A98D6" w14:textId="77777777" w:rsidR="000F7B8B" w:rsidRPr="00A219AC" w:rsidRDefault="000F7B8B" w:rsidP="000F7B8B">
      <w:pPr>
        <w:pStyle w:val="Zkladntext"/>
        <w:spacing w:after="240"/>
        <w:jc w:val="center"/>
        <w:rPr>
          <w:b/>
          <w:bCs/>
        </w:rPr>
      </w:pPr>
      <w:r w:rsidRPr="00A219AC">
        <w:rPr>
          <w:bCs/>
        </w:rPr>
        <w:t>(dále jen „Rozhodnutí“)</w:t>
      </w:r>
    </w:p>
    <w:p w14:paraId="7EA60FCC" w14:textId="77777777" w:rsidR="000F7B8B" w:rsidRPr="00A219AC" w:rsidRDefault="000F7B8B" w:rsidP="000F7B8B">
      <w:pPr>
        <w:pStyle w:val="Zkladntext"/>
        <w:jc w:val="center"/>
        <w:rPr>
          <w:b/>
          <w:bCs/>
        </w:rPr>
      </w:pPr>
    </w:p>
    <w:p w14:paraId="43B8FEF1" w14:textId="77777777" w:rsidR="000F7B8B" w:rsidRPr="00747E4C" w:rsidRDefault="000F7B8B" w:rsidP="000F7B8B">
      <w:pPr>
        <w:pStyle w:val="Zhlav"/>
        <w:tabs>
          <w:tab w:val="clear" w:pos="4536"/>
          <w:tab w:val="clear" w:pos="9072"/>
        </w:tabs>
        <w:jc w:val="center"/>
        <w:rPr>
          <w:rFonts w:cs="Arial"/>
          <w:i/>
          <w:iCs/>
        </w:rPr>
      </w:pPr>
      <w:r w:rsidRPr="00747E4C">
        <w:rPr>
          <w:rFonts w:cs="Arial"/>
          <w:i/>
          <w:iCs/>
        </w:rPr>
        <w:t xml:space="preserve">vydané na základě § 14 zákona č. 218/2000 Sb., o rozpočtových pravidlech a o změně některých souvisejících zákonů (rozpočtová pravidla), ve znění pozdějších předpisů </w:t>
      </w:r>
    </w:p>
    <w:p w14:paraId="2B194AE1" w14:textId="77777777" w:rsidR="000F7B8B" w:rsidRPr="00747E4C" w:rsidRDefault="0099535B" w:rsidP="000F7B8B">
      <w:pPr>
        <w:pStyle w:val="Zhlav"/>
        <w:tabs>
          <w:tab w:val="clear" w:pos="4536"/>
          <w:tab w:val="clear" w:pos="9072"/>
        </w:tabs>
        <w:spacing w:after="240"/>
        <w:rPr>
          <w:rFonts w:cs="Arial"/>
        </w:rPr>
      </w:pPr>
      <w:r>
        <w:rPr>
          <w:rFonts w:cs="Arial"/>
        </w:rPr>
        <w:t>Ž</w:t>
      </w:r>
      <w:r w:rsidR="000F7B8B" w:rsidRPr="00747E4C">
        <w:rPr>
          <w:rFonts w:cs="Arial"/>
        </w:rPr>
        <w:t xml:space="preserve">ádosti o podporu z Národního programu AMIF (dále jen „NP AMIF“) </w:t>
      </w:r>
      <w:r w:rsidR="00ED3D20">
        <w:rPr>
          <w:rFonts w:cs="Arial"/>
        </w:rPr>
        <w:t>ve znění ze dne [</w:t>
      </w:r>
      <w:r w:rsidR="00ED3D20" w:rsidRPr="008202EC">
        <w:rPr>
          <w:rFonts w:cs="Arial"/>
          <w:highlight w:val="yellow"/>
        </w:rPr>
        <w:t>…</w:t>
      </w:r>
      <w:r w:rsidR="00ED3D20">
        <w:rPr>
          <w:rFonts w:cs="Arial"/>
        </w:rPr>
        <w:t>]</w:t>
      </w:r>
      <w:r w:rsidR="00ED3D20">
        <w:rPr>
          <w:rStyle w:val="Znakapoznpodarou"/>
          <w:rFonts w:cs="Arial"/>
        </w:rPr>
        <w:footnoteReference w:id="1"/>
      </w:r>
      <w:r w:rsidR="00ED3D20">
        <w:rPr>
          <w:rFonts w:cs="Arial"/>
        </w:rPr>
        <w:t xml:space="preserve"> </w:t>
      </w:r>
      <w:r>
        <w:rPr>
          <w:rFonts w:cs="Arial"/>
        </w:rPr>
        <w:t xml:space="preserve">na realizaci projektu </w:t>
      </w:r>
      <w:r w:rsidRPr="008202EC">
        <w:rPr>
          <w:rFonts w:cs="Arial"/>
          <w:highlight w:val="yellow"/>
        </w:rPr>
        <w:t>[…]</w:t>
      </w:r>
      <w:r w:rsidRPr="00747E4C">
        <w:rPr>
          <w:rFonts w:cs="Arial"/>
        </w:rPr>
        <w:t xml:space="preserve"> registrační číslo </w:t>
      </w:r>
      <w:r w:rsidRPr="008202EC">
        <w:rPr>
          <w:rFonts w:cs="Arial"/>
          <w:highlight w:val="yellow"/>
        </w:rPr>
        <w:t>[…]</w:t>
      </w:r>
      <w:r w:rsidRPr="00747E4C">
        <w:rPr>
          <w:rFonts w:cs="Arial"/>
        </w:rPr>
        <w:t>, (dále jen „projekt“)</w:t>
      </w:r>
      <w:r>
        <w:rPr>
          <w:rFonts w:cs="Arial"/>
        </w:rPr>
        <w:t xml:space="preserve"> </w:t>
      </w:r>
      <w:r w:rsidR="000F7B8B" w:rsidRPr="00747E4C">
        <w:rPr>
          <w:rFonts w:cs="Arial"/>
        </w:rPr>
        <w:t xml:space="preserve">Ministerstvo vnitra (dále jen „poskytovatel“) </w:t>
      </w:r>
      <w:r>
        <w:rPr>
          <w:rFonts w:cs="Arial"/>
        </w:rPr>
        <w:t>vyhovuje zcela.</w:t>
      </w:r>
    </w:p>
    <w:p w14:paraId="045A5FBA" w14:textId="77777777" w:rsidR="000F7B8B" w:rsidRPr="00747E4C" w:rsidRDefault="000F7B8B" w:rsidP="000F7B8B">
      <w:pPr>
        <w:jc w:val="center"/>
        <w:rPr>
          <w:rFonts w:cs="Arial"/>
          <w:b/>
        </w:rPr>
      </w:pPr>
      <w:r w:rsidRPr="00747E4C">
        <w:rPr>
          <w:rFonts w:cs="Arial"/>
          <w:b/>
        </w:rPr>
        <w:t xml:space="preserve">Část I </w:t>
      </w:r>
    </w:p>
    <w:p w14:paraId="1A1708B6" w14:textId="77777777" w:rsidR="000F7B8B" w:rsidRPr="00747E4C" w:rsidRDefault="000F7B8B" w:rsidP="000F7B8B">
      <w:pPr>
        <w:spacing w:after="240"/>
        <w:jc w:val="center"/>
        <w:rPr>
          <w:rFonts w:cs="Arial"/>
          <w:b/>
        </w:rPr>
      </w:pPr>
      <w:r w:rsidRPr="00747E4C">
        <w:rPr>
          <w:rFonts w:cs="Arial"/>
          <w:b/>
        </w:rPr>
        <w:t>Obecné vymezení dotace</w:t>
      </w:r>
    </w:p>
    <w:p w14:paraId="00B5F30E" w14:textId="77777777" w:rsidR="000F7B8B" w:rsidRPr="008202EC" w:rsidRDefault="000F7B8B" w:rsidP="000F7B8B">
      <w:pPr>
        <w:pStyle w:val="slovanseznam"/>
        <w:numPr>
          <w:ilvl w:val="0"/>
          <w:numId w:val="7"/>
        </w:numPr>
        <w:spacing w:line="240" w:lineRule="auto"/>
        <w:rPr>
          <w:b/>
          <w:bCs/>
          <w:sz w:val="22"/>
          <w:szCs w:val="22"/>
          <w:highlight w:val="yellow"/>
        </w:rPr>
      </w:pPr>
      <w:r w:rsidRPr="008202EC">
        <w:rPr>
          <w:b/>
          <w:bCs/>
          <w:sz w:val="22"/>
          <w:szCs w:val="22"/>
          <w:highlight w:val="yellow"/>
        </w:rPr>
        <w:t>Specifikace příjemce dotace (dále jen „příjemce“)</w:t>
      </w:r>
    </w:p>
    <w:p w14:paraId="5F3A17C2" w14:textId="77777777" w:rsidR="000F7B8B" w:rsidRPr="00747E4C" w:rsidRDefault="000F7B8B" w:rsidP="000F7B8B">
      <w:pPr>
        <w:pStyle w:val="Zhlav"/>
        <w:tabs>
          <w:tab w:val="clear" w:pos="4536"/>
          <w:tab w:val="clear" w:pos="9072"/>
        </w:tabs>
        <w:spacing w:after="60"/>
        <w:rPr>
          <w:rFonts w:cs="Arial"/>
        </w:rPr>
      </w:pPr>
      <w:r w:rsidRPr="00747E4C">
        <w:rPr>
          <w:rFonts w:cs="Arial"/>
        </w:rPr>
        <w:t>Název příjemce:</w:t>
      </w:r>
      <w:r w:rsidRPr="00747E4C">
        <w:rPr>
          <w:rFonts w:cs="Arial"/>
        </w:rPr>
        <w:tab/>
      </w:r>
      <w:r w:rsidRPr="00747E4C">
        <w:rPr>
          <w:rFonts w:cs="Arial"/>
        </w:rPr>
        <w:tab/>
      </w:r>
    </w:p>
    <w:p w14:paraId="52AE45BE" w14:textId="77777777" w:rsidR="000F7B8B" w:rsidRPr="00747E4C" w:rsidRDefault="000F7B8B" w:rsidP="000F7B8B">
      <w:pPr>
        <w:pStyle w:val="Zhlav"/>
        <w:tabs>
          <w:tab w:val="clear" w:pos="4536"/>
          <w:tab w:val="clear" w:pos="9072"/>
        </w:tabs>
        <w:spacing w:after="60"/>
        <w:rPr>
          <w:rFonts w:cs="Arial"/>
          <w:iCs/>
        </w:rPr>
      </w:pPr>
      <w:r w:rsidRPr="00747E4C">
        <w:rPr>
          <w:rFonts w:cs="Arial"/>
          <w:iCs/>
        </w:rPr>
        <w:t>Adresa sídla:</w:t>
      </w:r>
      <w:r w:rsidRPr="00747E4C">
        <w:rPr>
          <w:rFonts w:cs="Arial"/>
          <w:iCs/>
        </w:rPr>
        <w:tab/>
      </w:r>
      <w:r w:rsidRPr="00747E4C">
        <w:rPr>
          <w:rFonts w:cs="Arial"/>
          <w:iCs/>
        </w:rPr>
        <w:tab/>
      </w:r>
      <w:r w:rsidRPr="00747E4C">
        <w:rPr>
          <w:rFonts w:cs="Arial"/>
          <w:iCs/>
        </w:rPr>
        <w:tab/>
      </w:r>
    </w:p>
    <w:p w14:paraId="02B66E48" w14:textId="77777777" w:rsidR="000F7B8B" w:rsidRPr="00747E4C" w:rsidRDefault="000F7B8B" w:rsidP="000F7B8B">
      <w:pPr>
        <w:pStyle w:val="Zhlav"/>
        <w:tabs>
          <w:tab w:val="clear" w:pos="4536"/>
          <w:tab w:val="clear" w:pos="9072"/>
        </w:tabs>
        <w:spacing w:after="60"/>
        <w:rPr>
          <w:rFonts w:cs="Arial"/>
          <w:iCs/>
        </w:rPr>
      </w:pPr>
      <w:r w:rsidRPr="00747E4C">
        <w:rPr>
          <w:rFonts w:cs="Arial"/>
        </w:rPr>
        <w:t xml:space="preserve">Statutární orgán: </w:t>
      </w:r>
      <w:r w:rsidRPr="00747E4C">
        <w:rPr>
          <w:rFonts w:cs="Arial"/>
        </w:rPr>
        <w:tab/>
      </w:r>
      <w:r w:rsidRPr="00747E4C">
        <w:rPr>
          <w:rFonts w:cs="Arial"/>
        </w:rPr>
        <w:tab/>
      </w:r>
    </w:p>
    <w:p w14:paraId="2BB174FB" w14:textId="77777777" w:rsidR="000F7B8B" w:rsidRPr="00747E4C" w:rsidRDefault="000F7B8B" w:rsidP="000F7B8B">
      <w:pPr>
        <w:pStyle w:val="Zhlav"/>
        <w:tabs>
          <w:tab w:val="clear" w:pos="4536"/>
          <w:tab w:val="clear" w:pos="9072"/>
        </w:tabs>
        <w:spacing w:after="60"/>
        <w:rPr>
          <w:rFonts w:cs="Arial"/>
          <w:iCs/>
        </w:rPr>
      </w:pPr>
      <w:r w:rsidRPr="00747E4C">
        <w:rPr>
          <w:rFonts w:cs="Arial"/>
        </w:rPr>
        <w:t xml:space="preserve">IČ: </w:t>
      </w:r>
      <w:r w:rsidRPr="00747E4C">
        <w:rPr>
          <w:rFonts w:cs="Arial"/>
        </w:rPr>
        <w:tab/>
      </w:r>
      <w:r w:rsidRPr="00747E4C">
        <w:rPr>
          <w:rFonts w:cs="Arial"/>
        </w:rPr>
        <w:tab/>
      </w:r>
      <w:r w:rsidRPr="00747E4C">
        <w:rPr>
          <w:rFonts w:cs="Arial"/>
        </w:rPr>
        <w:tab/>
      </w:r>
      <w:r w:rsidRPr="00747E4C">
        <w:rPr>
          <w:rFonts w:cs="Arial"/>
        </w:rPr>
        <w:tab/>
      </w:r>
    </w:p>
    <w:p w14:paraId="51E19D32" w14:textId="77777777" w:rsidR="000F7B8B" w:rsidRPr="00747E4C" w:rsidRDefault="000F7B8B" w:rsidP="000F7B8B">
      <w:pPr>
        <w:pStyle w:val="Zhlav"/>
        <w:tabs>
          <w:tab w:val="clear" w:pos="4536"/>
          <w:tab w:val="clear" w:pos="9072"/>
        </w:tabs>
        <w:spacing w:after="60"/>
        <w:rPr>
          <w:rFonts w:cs="Arial"/>
        </w:rPr>
      </w:pPr>
      <w:r w:rsidRPr="00747E4C">
        <w:rPr>
          <w:rFonts w:cs="Arial"/>
        </w:rPr>
        <w:t xml:space="preserve">Bankovní účet příjemce: </w:t>
      </w:r>
      <w:r w:rsidRPr="00747E4C">
        <w:rPr>
          <w:rFonts w:cs="Arial"/>
        </w:rPr>
        <w:tab/>
      </w:r>
    </w:p>
    <w:p w14:paraId="57587A1A" w14:textId="77777777" w:rsidR="000F7B8B" w:rsidRPr="00747E4C" w:rsidRDefault="000F7B8B" w:rsidP="000F7B8B">
      <w:pPr>
        <w:pStyle w:val="slovanseznam"/>
        <w:numPr>
          <w:ilvl w:val="0"/>
          <w:numId w:val="7"/>
        </w:numPr>
        <w:spacing w:before="240" w:line="240" w:lineRule="auto"/>
        <w:ind w:left="357" w:hanging="357"/>
        <w:rPr>
          <w:b/>
          <w:bCs/>
          <w:sz w:val="22"/>
          <w:szCs w:val="22"/>
        </w:rPr>
      </w:pPr>
      <w:r w:rsidRPr="00747E4C">
        <w:rPr>
          <w:b/>
          <w:bCs/>
          <w:sz w:val="22"/>
          <w:szCs w:val="22"/>
        </w:rPr>
        <w:t>Výše dotace a režim financování</w:t>
      </w:r>
    </w:p>
    <w:p w14:paraId="785129B5" w14:textId="77777777" w:rsidR="000F7B8B" w:rsidRPr="00747E4C" w:rsidRDefault="000F7B8B" w:rsidP="000F7B8B">
      <w:pPr>
        <w:pStyle w:val="slovanseznam"/>
        <w:numPr>
          <w:ilvl w:val="1"/>
          <w:numId w:val="1"/>
        </w:numPr>
        <w:tabs>
          <w:tab w:val="num" w:pos="426"/>
        </w:tabs>
        <w:spacing w:line="240" w:lineRule="auto"/>
        <w:ind w:left="425" w:hanging="425"/>
        <w:rPr>
          <w:sz w:val="22"/>
          <w:szCs w:val="22"/>
        </w:rPr>
      </w:pPr>
      <w:r w:rsidRPr="00747E4C">
        <w:rPr>
          <w:sz w:val="22"/>
          <w:szCs w:val="22"/>
        </w:rPr>
        <w:t>Dotace je poskytována do maximální výše uvedené v řádku „Dotace“ v následující tabulce:</w:t>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78"/>
        <w:gridCol w:w="2126"/>
        <w:gridCol w:w="2268"/>
      </w:tblGrid>
      <w:tr w:rsidR="000F7B8B" w:rsidRPr="005C4078" w14:paraId="2D22BABB" w14:textId="77777777" w:rsidTr="001536B6">
        <w:trPr>
          <w:tblHeader/>
        </w:trPr>
        <w:tc>
          <w:tcPr>
            <w:tcW w:w="4678" w:type="dxa"/>
            <w:vAlign w:val="center"/>
          </w:tcPr>
          <w:p w14:paraId="5CBA0508" w14:textId="77777777" w:rsidR="000F7B8B" w:rsidRPr="00747E4C" w:rsidRDefault="000F7B8B" w:rsidP="001536B6">
            <w:pPr>
              <w:spacing w:before="40" w:after="40"/>
              <w:rPr>
                <w:rFonts w:cs="Arial"/>
                <w:b/>
                <w:snapToGrid w:val="0"/>
              </w:rPr>
            </w:pPr>
            <w:r w:rsidRPr="008202EC">
              <w:rPr>
                <w:rFonts w:cs="Arial"/>
                <w:b/>
                <w:snapToGrid w:val="0"/>
                <w:highlight w:val="yellow"/>
              </w:rPr>
              <w:t>Finanční rámec projektu</w:t>
            </w:r>
          </w:p>
        </w:tc>
        <w:tc>
          <w:tcPr>
            <w:tcW w:w="2126" w:type="dxa"/>
            <w:vAlign w:val="center"/>
          </w:tcPr>
          <w:p w14:paraId="675FDC8B" w14:textId="77777777" w:rsidR="000F7B8B" w:rsidRPr="00747E4C" w:rsidRDefault="000F7B8B" w:rsidP="001536B6">
            <w:pPr>
              <w:spacing w:before="40" w:after="40"/>
              <w:jc w:val="center"/>
              <w:rPr>
                <w:rFonts w:cs="Arial"/>
                <w:b/>
                <w:snapToGrid w:val="0"/>
              </w:rPr>
            </w:pPr>
            <w:r w:rsidRPr="00747E4C">
              <w:rPr>
                <w:rFonts w:cs="Arial"/>
                <w:b/>
                <w:snapToGrid w:val="0"/>
              </w:rPr>
              <w:t>Částka</w:t>
            </w:r>
          </w:p>
          <w:p w14:paraId="639CBC20" w14:textId="77777777" w:rsidR="000F7B8B" w:rsidRPr="00747E4C" w:rsidRDefault="000F7B8B" w:rsidP="001536B6">
            <w:pPr>
              <w:spacing w:before="40" w:after="40"/>
              <w:jc w:val="center"/>
              <w:rPr>
                <w:rFonts w:cs="Arial"/>
                <w:b/>
                <w:snapToGrid w:val="0"/>
              </w:rPr>
            </w:pPr>
            <w:r w:rsidRPr="00747E4C">
              <w:rPr>
                <w:rFonts w:cs="Arial"/>
                <w:b/>
                <w:snapToGrid w:val="0"/>
              </w:rPr>
              <w:t>(v Kč)</w:t>
            </w:r>
          </w:p>
        </w:tc>
        <w:tc>
          <w:tcPr>
            <w:tcW w:w="2268" w:type="dxa"/>
            <w:vAlign w:val="center"/>
          </w:tcPr>
          <w:p w14:paraId="0EEA0C97" w14:textId="77777777" w:rsidR="000F7B8B" w:rsidRPr="00747E4C" w:rsidRDefault="000F7B8B" w:rsidP="001536B6">
            <w:pPr>
              <w:spacing w:before="40" w:after="40"/>
              <w:jc w:val="center"/>
              <w:rPr>
                <w:rFonts w:cs="Arial"/>
                <w:b/>
                <w:snapToGrid w:val="0"/>
              </w:rPr>
            </w:pPr>
            <w:r w:rsidRPr="00747E4C">
              <w:rPr>
                <w:rFonts w:cs="Arial"/>
                <w:b/>
                <w:snapToGrid w:val="0"/>
              </w:rPr>
              <w:t>Podíl na celkovém rozpočtu</w:t>
            </w:r>
          </w:p>
          <w:p w14:paraId="43F1C516" w14:textId="77777777" w:rsidR="000F7B8B" w:rsidRPr="00747E4C" w:rsidRDefault="000F7B8B" w:rsidP="001536B6">
            <w:pPr>
              <w:spacing w:before="40" w:after="40"/>
              <w:jc w:val="center"/>
              <w:rPr>
                <w:rFonts w:cs="Arial"/>
                <w:b/>
                <w:snapToGrid w:val="0"/>
              </w:rPr>
            </w:pPr>
            <w:r w:rsidRPr="00747E4C">
              <w:rPr>
                <w:rFonts w:cs="Arial"/>
                <w:b/>
                <w:snapToGrid w:val="0"/>
              </w:rPr>
              <w:t>(v %)</w:t>
            </w:r>
          </w:p>
        </w:tc>
      </w:tr>
      <w:tr w:rsidR="000F7B8B" w:rsidRPr="005C4078" w14:paraId="070704C9" w14:textId="77777777" w:rsidTr="001536B6">
        <w:tc>
          <w:tcPr>
            <w:tcW w:w="4678" w:type="dxa"/>
            <w:vAlign w:val="center"/>
          </w:tcPr>
          <w:p w14:paraId="28625454" w14:textId="77777777" w:rsidR="000F7B8B" w:rsidRPr="00747E4C" w:rsidRDefault="000F7B8B" w:rsidP="001536B6">
            <w:pPr>
              <w:pStyle w:val="Normln12TNRCharCharCharChar"/>
              <w:widowControl w:val="0"/>
              <w:tabs>
                <w:tab w:val="left" w:pos="830"/>
              </w:tabs>
              <w:spacing w:before="40" w:after="40"/>
              <w:rPr>
                <w:rFonts w:asciiTheme="minorHAnsi" w:hAnsiTheme="minorHAnsi" w:cs="Arial"/>
                <w:snapToGrid w:val="0"/>
                <w:sz w:val="22"/>
              </w:rPr>
            </w:pPr>
            <w:r w:rsidRPr="00747E4C">
              <w:rPr>
                <w:rFonts w:asciiTheme="minorHAnsi" w:hAnsiTheme="minorHAnsi" w:cs="Arial"/>
                <w:snapToGrid w:val="0"/>
                <w:sz w:val="22"/>
              </w:rPr>
              <w:t>Celkové způsobilé náklady</w:t>
            </w:r>
          </w:p>
        </w:tc>
        <w:tc>
          <w:tcPr>
            <w:tcW w:w="2126" w:type="dxa"/>
            <w:vAlign w:val="center"/>
          </w:tcPr>
          <w:p w14:paraId="5F49DD6D" w14:textId="77777777" w:rsidR="000F7B8B" w:rsidRPr="00747E4C" w:rsidRDefault="000F7B8B" w:rsidP="001536B6">
            <w:pPr>
              <w:spacing w:before="40" w:after="40"/>
              <w:jc w:val="center"/>
              <w:rPr>
                <w:rFonts w:cs="Arial"/>
              </w:rPr>
            </w:pPr>
            <w:r w:rsidRPr="00747E4C">
              <w:rPr>
                <w:rFonts w:cs="Arial"/>
              </w:rPr>
              <w:t>[...]</w:t>
            </w:r>
          </w:p>
        </w:tc>
        <w:tc>
          <w:tcPr>
            <w:tcW w:w="2268" w:type="dxa"/>
            <w:vAlign w:val="center"/>
          </w:tcPr>
          <w:p w14:paraId="2FC0804E" w14:textId="77777777" w:rsidR="000F7B8B" w:rsidRPr="00747E4C" w:rsidRDefault="000F7B8B" w:rsidP="001536B6">
            <w:pPr>
              <w:spacing w:before="40" w:after="40"/>
              <w:jc w:val="center"/>
              <w:rPr>
                <w:rFonts w:cs="Arial"/>
              </w:rPr>
            </w:pPr>
            <w:r w:rsidRPr="00747E4C">
              <w:rPr>
                <w:rFonts w:cs="Arial"/>
              </w:rPr>
              <w:t>-</w:t>
            </w:r>
          </w:p>
        </w:tc>
      </w:tr>
      <w:tr w:rsidR="000F7B8B" w:rsidRPr="005C4078" w14:paraId="690F25DE" w14:textId="77777777" w:rsidTr="001536B6">
        <w:tc>
          <w:tcPr>
            <w:tcW w:w="4678" w:type="dxa"/>
            <w:vAlign w:val="center"/>
          </w:tcPr>
          <w:p w14:paraId="334F3B55" w14:textId="431DE173" w:rsidR="000F7B8B" w:rsidRPr="00747E4C" w:rsidRDefault="000F7B8B" w:rsidP="005609FC">
            <w:pPr>
              <w:pStyle w:val="N1"/>
              <w:widowControl w:val="0"/>
              <w:spacing w:before="40" w:after="40"/>
              <w:jc w:val="both"/>
              <w:rPr>
                <w:rFonts w:asciiTheme="minorHAnsi" w:hAnsiTheme="minorHAnsi"/>
                <w:b w:val="0"/>
                <w:bCs/>
                <w:caps w:val="0"/>
                <w:snapToGrid w:val="0"/>
                <w:sz w:val="22"/>
                <w:szCs w:val="22"/>
              </w:rPr>
            </w:pPr>
            <w:r w:rsidRPr="00747E4C">
              <w:rPr>
                <w:rFonts w:asciiTheme="minorHAnsi" w:hAnsiTheme="minorHAnsi"/>
                <w:b w:val="0"/>
                <w:bCs/>
                <w:caps w:val="0"/>
                <w:snapToGrid w:val="0"/>
                <w:sz w:val="22"/>
                <w:szCs w:val="22"/>
              </w:rPr>
              <w:t>Vlastní financování způsobilých výdajů</w:t>
            </w:r>
          </w:p>
        </w:tc>
        <w:tc>
          <w:tcPr>
            <w:tcW w:w="2126" w:type="dxa"/>
            <w:vAlign w:val="center"/>
          </w:tcPr>
          <w:p w14:paraId="01A3FB15" w14:textId="77777777" w:rsidR="000F7B8B" w:rsidRPr="00747E4C" w:rsidRDefault="000F7B8B" w:rsidP="001536B6">
            <w:pPr>
              <w:spacing w:before="40" w:after="40"/>
              <w:jc w:val="center"/>
              <w:rPr>
                <w:rFonts w:cs="Arial"/>
              </w:rPr>
            </w:pPr>
            <w:r w:rsidRPr="00747E4C">
              <w:rPr>
                <w:rFonts w:cs="Arial"/>
              </w:rPr>
              <w:t>[…]</w:t>
            </w:r>
          </w:p>
        </w:tc>
        <w:tc>
          <w:tcPr>
            <w:tcW w:w="2268" w:type="dxa"/>
            <w:vAlign w:val="center"/>
          </w:tcPr>
          <w:p w14:paraId="0AE407E2" w14:textId="77777777" w:rsidR="000F7B8B" w:rsidRPr="00747E4C" w:rsidRDefault="000F7B8B" w:rsidP="001536B6">
            <w:pPr>
              <w:spacing w:before="40" w:after="40"/>
              <w:jc w:val="center"/>
              <w:rPr>
                <w:rFonts w:cs="Arial"/>
              </w:rPr>
            </w:pPr>
            <w:r w:rsidRPr="00747E4C">
              <w:rPr>
                <w:rFonts w:cs="Arial"/>
              </w:rPr>
              <w:t>[…]</w:t>
            </w:r>
          </w:p>
        </w:tc>
      </w:tr>
      <w:tr w:rsidR="000F7B8B" w:rsidRPr="005C4078" w14:paraId="6FB16375" w14:textId="77777777" w:rsidTr="001536B6">
        <w:tc>
          <w:tcPr>
            <w:tcW w:w="4678" w:type="dxa"/>
            <w:vAlign w:val="center"/>
          </w:tcPr>
          <w:p w14:paraId="052CA6E8" w14:textId="77777777" w:rsidR="000F7B8B" w:rsidRPr="00747E4C" w:rsidRDefault="000F7B8B" w:rsidP="001536B6">
            <w:r w:rsidRPr="00747E4C">
              <w:t>Dotace</w:t>
            </w:r>
          </w:p>
        </w:tc>
        <w:tc>
          <w:tcPr>
            <w:tcW w:w="2126" w:type="dxa"/>
            <w:vAlign w:val="center"/>
          </w:tcPr>
          <w:p w14:paraId="1D0BC7A2" w14:textId="77777777" w:rsidR="000F7B8B" w:rsidRPr="00747E4C" w:rsidRDefault="000F7B8B" w:rsidP="001536B6">
            <w:pPr>
              <w:spacing w:before="40" w:after="40"/>
              <w:jc w:val="center"/>
              <w:rPr>
                <w:rFonts w:cs="Arial"/>
              </w:rPr>
            </w:pPr>
            <w:r w:rsidRPr="00747E4C">
              <w:rPr>
                <w:rFonts w:cs="Arial"/>
              </w:rPr>
              <w:t>[…]</w:t>
            </w:r>
          </w:p>
        </w:tc>
        <w:tc>
          <w:tcPr>
            <w:tcW w:w="2268" w:type="dxa"/>
            <w:vAlign w:val="center"/>
          </w:tcPr>
          <w:p w14:paraId="67F651EA" w14:textId="77777777" w:rsidR="000F7B8B" w:rsidRPr="00747E4C" w:rsidRDefault="000F7B8B" w:rsidP="001536B6">
            <w:pPr>
              <w:spacing w:before="40" w:after="40"/>
              <w:jc w:val="center"/>
              <w:rPr>
                <w:rFonts w:cs="Arial"/>
              </w:rPr>
            </w:pPr>
            <w:r w:rsidRPr="00747E4C">
              <w:rPr>
                <w:rFonts w:cs="Arial"/>
              </w:rPr>
              <w:t>[…]</w:t>
            </w:r>
          </w:p>
        </w:tc>
      </w:tr>
      <w:tr w:rsidR="005609FC" w:rsidRPr="005C4078" w14:paraId="5BBE3CF1" w14:textId="77777777" w:rsidTr="001536B6">
        <w:tc>
          <w:tcPr>
            <w:tcW w:w="4678" w:type="dxa"/>
            <w:vAlign w:val="center"/>
          </w:tcPr>
          <w:p w14:paraId="03417D76" w14:textId="77777777" w:rsidR="005609FC" w:rsidRPr="00747E4C" w:rsidRDefault="005609FC" w:rsidP="005609FC">
            <w:pPr>
              <w:pStyle w:val="Odstavecseseznamem"/>
              <w:widowControl w:val="0"/>
              <w:numPr>
                <w:ilvl w:val="0"/>
                <w:numId w:val="12"/>
              </w:numPr>
              <w:overflowPunct w:val="0"/>
              <w:autoSpaceDE w:val="0"/>
              <w:autoSpaceDN w:val="0"/>
              <w:adjustRightInd w:val="0"/>
              <w:spacing w:line="240" w:lineRule="auto"/>
              <w:contextualSpacing w:val="0"/>
              <w:textAlignment w:val="baseline"/>
            </w:pPr>
            <w:r>
              <w:t>z toho komponenta AMIF</w:t>
            </w:r>
          </w:p>
        </w:tc>
        <w:tc>
          <w:tcPr>
            <w:tcW w:w="2126" w:type="dxa"/>
            <w:vAlign w:val="center"/>
          </w:tcPr>
          <w:p w14:paraId="0276D862" w14:textId="77777777" w:rsidR="005609FC" w:rsidRPr="00747E4C" w:rsidRDefault="005609FC" w:rsidP="005609FC">
            <w:pPr>
              <w:keepNext/>
              <w:spacing w:before="40" w:after="40"/>
              <w:jc w:val="center"/>
              <w:rPr>
                <w:rFonts w:cs="Arial"/>
              </w:rPr>
            </w:pPr>
            <w:r w:rsidRPr="00747E4C">
              <w:rPr>
                <w:rFonts w:cs="Arial"/>
              </w:rPr>
              <w:t>[…]</w:t>
            </w:r>
          </w:p>
        </w:tc>
        <w:tc>
          <w:tcPr>
            <w:tcW w:w="2268" w:type="dxa"/>
            <w:vAlign w:val="center"/>
          </w:tcPr>
          <w:p w14:paraId="2457EA24" w14:textId="756131F8" w:rsidR="005609FC" w:rsidRPr="00747E4C" w:rsidRDefault="00CD1B83" w:rsidP="005609FC">
            <w:pPr>
              <w:keepNext/>
              <w:spacing w:before="40" w:after="40"/>
              <w:jc w:val="center"/>
              <w:rPr>
                <w:rFonts w:cs="Arial"/>
              </w:rPr>
            </w:pPr>
            <w:r>
              <w:rPr>
                <w:rFonts w:cs="Arial"/>
              </w:rPr>
              <w:t>9</w:t>
            </w:r>
            <w:r w:rsidR="007F570E">
              <w:rPr>
                <w:rFonts w:cs="Arial"/>
              </w:rPr>
              <w:t>0</w:t>
            </w:r>
          </w:p>
        </w:tc>
      </w:tr>
      <w:tr w:rsidR="005609FC" w:rsidRPr="005C4078" w14:paraId="6550E892" w14:textId="77777777" w:rsidTr="001536B6">
        <w:tc>
          <w:tcPr>
            <w:tcW w:w="4678" w:type="dxa"/>
            <w:vAlign w:val="center"/>
          </w:tcPr>
          <w:p w14:paraId="2C34C1E5" w14:textId="77777777" w:rsidR="005609FC" w:rsidRPr="00747E4C" w:rsidRDefault="005609FC" w:rsidP="001972C8">
            <w:pPr>
              <w:pStyle w:val="Odstavecseseznamem"/>
              <w:widowControl w:val="0"/>
              <w:numPr>
                <w:ilvl w:val="0"/>
                <w:numId w:val="23"/>
              </w:numPr>
              <w:overflowPunct w:val="0"/>
              <w:autoSpaceDE w:val="0"/>
              <w:autoSpaceDN w:val="0"/>
              <w:adjustRightInd w:val="0"/>
              <w:spacing w:line="240" w:lineRule="auto"/>
              <w:ind w:left="1062"/>
              <w:contextualSpacing w:val="0"/>
              <w:textAlignment w:val="baseline"/>
            </w:pPr>
            <w:r w:rsidRPr="00747E4C">
              <w:lastRenderedPageBreak/>
              <w:t>z toho z Azylového, migračního a integračního fondu, tj. prostředky poskytnuté ze státního rozpočtu na předfinancování výdajů, které mají být kryty prostředky z rozpočtu Evropské unie kromě prostředků z Národního fondu (§ 44 odst. 2 písm.  h) rozpočtových pravidel);</w:t>
            </w:r>
          </w:p>
        </w:tc>
        <w:tc>
          <w:tcPr>
            <w:tcW w:w="2126" w:type="dxa"/>
            <w:vAlign w:val="center"/>
          </w:tcPr>
          <w:p w14:paraId="7EFF2795" w14:textId="77777777" w:rsidR="005609FC" w:rsidRPr="00747E4C" w:rsidRDefault="005609FC" w:rsidP="005609FC">
            <w:pPr>
              <w:keepNext/>
              <w:spacing w:before="40" w:after="40"/>
              <w:jc w:val="center"/>
              <w:rPr>
                <w:rFonts w:cs="Arial"/>
                <w:b/>
              </w:rPr>
            </w:pPr>
            <w:r w:rsidRPr="00747E4C">
              <w:rPr>
                <w:rFonts w:cs="Arial"/>
              </w:rPr>
              <w:t>[…]</w:t>
            </w:r>
          </w:p>
        </w:tc>
        <w:tc>
          <w:tcPr>
            <w:tcW w:w="2268" w:type="dxa"/>
            <w:vAlign w:val="center"/>
          </w:tcPr>
          <w:p w14:paraId="1D9E8494" w14:textId="6C5EE040" w:rsidR="005609FC" w:rsidRPr="00747E4C" w:rsidRDefault="007F570E" w:rsidP="005609FC">
            <w:pPr>
              <w:keepNext/>
              <w:spacing w:before="40" w:after="40"/>
              <w:jc w:val="center"/>
              <w:rPr>
                <w:rFonts w:cs="Arial"/>
              </w:rPr>
            </w:pPr>
            <w:r>
              <w:rPr>
                <w:rFonts w:cs="Arial"/>
              </w:rPr>
              <w:t>90</w:t>
            </w:r>
          </w:p>
        </w:tc>
      </w:tr>
      <w:tr w:rsidR="005609FC" w:rsidRPr="005C4078" w14:paraId="21FA4564" w14:textId="77777777" w:rsidTr="001536B6">
        <w:tc>
          <w:tcPr>
            <w:tcW w:w="4678" w:type="dxa"/>
            <w:vAlign w:val="center"/>
          </w:tcPr>
          <w:p w14:paraId="6BF71BD4" w14:textId="77777777" w:rsidR="005609FC" w:rsidRPr="00747E4C" w:rsidRDefault="005609FC" w:rsidP="001972C8">
            <w:pPr>
              <w:pStyle w:val="Odstavecseseznamem"/>
              <w:widowControl w:val="0"/>
              <w:numPr>
                <w:ilvl w:val="0"/>
                <w:numId w:val="23"/>
              </w:numPr>
              <w:overflowPunct w:val="0"/>
              <w:autoSpaceDE w:val="0"/>
              <w:autoSpaceDN w:val="0"/>
              <w:adjustRightInd w:val="0"/>
              <w:spacing w:line="240" w:lineRule="auto"/>
              <w:ind w:left="1062"/>
              <w:contextualSpacing w:val="0"/>
              <w:textAlignment w:val="baseline"/>
              <w:rPr>
                <w:rFonts w:cs="Arial"/>
                <w:bCs/>
                <w:snapToGrid w:val="0"/>
              </w:rPr>
            </w:pPr>
            <w:r w:rsidRPr="00747E4C">
              <w:rPr>
                <w:rFonts w:cs="Arial"/>
                <w:bCs/>
                <w:snapToGrid w:val="0"/>
              </w:rPr>
              <w:t>z toho státní rozpočet, tj. prostředky ze státního rozpočtu na část národního spolufinancování (§ 44 odst. 2 písm. j) rozpočtových pravidel).</w:t>
            </w:r>
          </w:p>
        </w:tc>
        <w:tc>
          <w:tcPr>
            <w:tcW w:w="2126" w:type="dxa"/>
            <w:vAlign w:val="center"/>
          </w:tcPr>
          <w:p w14:paraId="01F37859" w14:textId="77777777" w:rsidR="005609FC" w:rsidRPr="00747E4C" w:rsidRDefault="005609FC" w:rsidP="005609FC">
            <w:pPr>
              <w:spacing w:before="40" w:after="40"/>
              <w:jc w:val="center"/>
              <w:rPr>
                <w:rFonts w:cs="Arial"/>
              </w:rPr>
            </w:pPr>
            <w:r w:rsidRPr="00747E4C">
              <w:rPr>
                <w:rFonts w:cs="Arial"/>
              </w:rPr>
              <w:t>[…]</w:t>
            </w:r>
          </w:p>
        </w:tc>
        <w:tc>
          <w:tcPr>
            <w:tcW w:w="2268" w:type="dxa"/>
            <w:vAlign w:val="center"/>
          </w:tcPr>
          <w:p w14:paraId="745CAA32" w14:textId="77777777" w:rsidR="005609FC" w:rsidRPr="00747E4C" w:rsidRDefault="005609FC" w:rsidP="005609FC">
            <w:pPr>
              <w:spacing w:before="40" w:after="40"/>
              <w:jc w:val="center"/>
              <w:rPr>
                <w:rFonts w:cs="Arial"/>
              </w:rPr>
            </w:pPr>
            <w:r w:rsidRPr="00747E4C">
              <w:rPr>
                <w:rFonts w:cs="Arial"/>
              </w:rPr>
              <w:t>[…]</w:t>
            </w:r>
          </w:p>
        </w:tc>
      </w:tr>
      <w:tr w:rsidR="005609FC" w:rsidRPr="005C4078" w14:paraId="4C31899E" w14:textId="77777777" w:rsidTr="001536B6">
        <w:tc>
          <w:tcPr>
            <w:tcW w:w="4678" w:type="dxa"/>
            <w:vAlign w:val="center"/>
          </w:tcPr>
          <w:p w14:paraId="1944D63C" w14:textId="77777777" w:rsidR="005609FC" w:rsidRPr="00747E4C" w:rsidRDefault="005609FC" w:rsidP="001972C8">
            <w:pPr>
              <w:pStyle w:val="Odstavecseseznamem"/>
              <w:widowControl w:val="0"/>
              <w:numPr>
                <w:ilvl w:val="0"/>
                <w:numId w:val="12"/>
              </w:numPr>
              <w:overflowPunct w:val="0"/>
              <w:autoSpaceDE w:val="0"/>
              <w:autoSpaceDN w:val="0"/>
              <w:adjustRightInd w:val="0"/>
              <w:spacing w:line="240" w:lineRule="auto"/>
              <w:contextualSpacing w:val="0"/>
              <w:textAlignment w:val="baseline"/>
              <w:rPr>
                <w:rFonts w:cs="Arial"/>
                <w:bCs/>
                <w:snapToGrid w:val="0"/>
              </w:rPr>
            </w:pPr>
            <w:r>
              <w:rPr>
                <w:rFonts w:cs="Arial"/>
                <w:bCs/>
                <w:snapToGrid w:val="0"/>
              </w:rPr>
              <w:t xml:space="preserve">z toho </w:t>
            </w:r>
            <w:r w:rsidRPr="001972C8">
              <w:t>komplementární</w:t>
            </w:r>
            <w:r>
              <w:rPr>
                <w:rFonts w:cs="Arial"/>
                <w:bCs/>
                <w:snapToGrid w:val="0"/>
              </w:rPr>
              <w:t xml:space="preserve"> komponenta</w:t>
            </w:r>
          </w:p>
        </w:tc>
        <w:tc>
          <w:tcPr>
            <w:tcW w:w="2126" w:type="dxa"/>
            <w:vAlign w:val="center"/>
          </w:tcPr>
          <w:p w14:paraId="00DB8B86" w14:textId="77777777" w:rsidR="005609FC" w:rsidRPr="00747E4C" w:rsidRDefault="005609FC" w:rsidP="005609FC">
            <w:pPr>
              <w:spacing w:before="40" w:after="40"/>
              <w:jc w:val="center"/>
              <w:rPr>
                <w:rFonts w:cs="Arial"/>
              </w:rPr>
            </w:pPr>
            <w:r w:rsidRPr="00747E4C">
              <w:rPr>
                <w:rFonts w:cs="Arial"/>
              </w:rPr>
              <w:t>[…]</w:t>
            </w:r>
          </w:p>
        </w:tc>
        <w:tc>
          <w:tcPr>
            <w:tcW w:w="2268" w:type="dxa"/>
            <w:vAlign w:val="center"/>
          </w:tcPr>
          <w:p w14:paraId="0184515A" w14:textId="1B793C06" w:rsidR="005609FC" w:rsidRPr="00747E4C" w:rsidRDefault="00CD1B83" w:rsidP="005609FC">
            <w:pPr>
              <w:spacing w:before="40" w:after="40"/>
              <w:jc w:val="center"/>
              <w:rPr>
                <w:rFonts w:cs="Arial"/>
              </w:rPr>
            </w:pPr>
            <w:r>
              <w:rPr>
                <w:rFonts w:cs="Arial"/>
              </w:rPr>
              <w:t>1</w:t>
            </w:r>
            <w:r w:rsidR="007F570E">
              <w:rPr>
                <w:rFonts w:cs="Arial"/>
              </w:rPr>
              <w:t>0</w:t>
            </w:r>
          </w:p>
        </w:tc>
      </w:tr>
      <w:tr w:rsidR="005609FC" w:rsidRPr="005C4078" w14:paraId="178B0FF3" w14:textId="77777777" w:rsidTr="001536B6">
        <w:tc>
          <w:tcPr>
            <w:tcW w:w="4678" w:type="dxa"/>
            <w:vAlign w:val="center"/>
          </w:tcPr>
          <w:p w14:paraId="23793FE9" w14:textId="518261CB" w:rsidR="005609FC" w:rsidRDefault="005609FC" w:rsidP="001972C8">
            <w:pPr>
              <w:pStyle w:val="Odstavecseseznamem"/>
              <w:widowControl w:val="0"/>
              <w:numPr>
                <w:ilvl w:val="0"/>
                <w:numId w:val="23"/>
              </w:numPr>
              <w:overflowPunct w:val="0"/>
              <w:autoSpaceDE w:val="0"/>
              <w:autoSpaceDN w:val="0"/>
              <w:adjustRightInd w:val="0"/>
              <w:spacing w:line="240" w:lineRule="auto"/>
              <w:ind w:left="1062"/>
              <w:contextualSpacing w:val="0"/>
              <w:textAlignment w:val="baseline"/>
              <w:rPr>
                <w:rFonts w:cs="Arial"/>
                <w:bCs/>
                <w:snapToGrid w:val="0"/>
              </w:rPr>
            </w:pPr>
            <w:r w:rsidRPr="00747E4C">
              <w:rPr>
                <w:rFonts w:cs="Arial"/>
                <w:bCs/>
                <w:snapToGrid w:val="0"/>
              </w:rPr>
              <w:t xml:space="preserve">z toho státní rozpočet, </w:t>
            </w:r>
            <w:r w:rsidR="00B40940">
              <w:rPr>
                <w:rFonts w:cs="Arial"/>
                <w:bCs/>
                <w:snapToGrid w:val="0"/>
              </w:rPr>
              <w:t xml:space="preserve">tj. prostředky ze státního rozpočtu na část komplementární komponenty </w:t>
            </w:r>
            <w:r w:rsidRPr="00747E4C">
              <w:rPr>
                <w:rFonts w:cs="Arial"/>
                <w:bCs/>
                <w:snapToGrid w:val="0"/>
              </w:rPr>
              <w:t>(§ 44 odst. 2 písm. j) rozpočtových pravidel).</w:t>
            </w:r>
          </w:p>
        </w:tc>
        <w:tc>
          <w:tcPr>
            <w:tcW w:w="2126" w:type="dxa"/>
            <w:vAlign w:val="center"/>
          </w:tcPr>
          <w:p w14:paraId="7D95A023" w14:textId="77777777" w:rsidR="005609FC" w:rsidRPr="00747E4C" w:rsidRDefault="005609FC" w:rsidP="005609FC">
            <w:pPr>
              <w:spacing w:before="40" w:after="40"/>
              <w:jc w:val="center"/>
              <w:rPr>
                <w:rFonts w:cs="Arial"/>
              </w:rPr>
            </w:pPr>
            <w:r w:rsidRPr="00747E4C">
              <w:rPr>
                <w:rFonts w:cs="Arial"/>
              </w:rPr>
              <w:t>[…]</w:t>
            </w:r>
          </w:p>
        </w:tc>
        <w:tc>
          <w:tcPr>
            <w:tcW w:w="2268" w:type="dxa"/>
            <w:vAlign w:val="center"/>
          </w:tcPr>
          <w:p w14:paraId="702D5E64" w14:textId="77777777" w:rsidR="005609FC" w:rsidRPr="00747E4C" w:rsidRDefault="005609FC" w:rsidP="005609FC">
            <w:pPr>
              <w:spacing w:before="40" w:after="40"/>
              <w:jc w:val="center"/>
              <w:rPr>
                <w:rFonts w:cs="Arial"/>
              </w:rPr>
            </w:pPr>
            <w:r w:rsidRPr="00747E4C">
              <w:rPr>
                <w:rFonts w:cs="Arial"/>
              </w:rPr>
              <w:t>[…]</w:t>
            </w:r>
          </w:p>
        </w:tc>
      </w:tr>
      <w:tr w:rsidR="005609FC" w:rsidRPr="005C4078" w14:paraId="404BE46C" w14:textId="77777777" w:rsidTr="001536B6">
        <w:tc>
          <w:tcPr>
            <w:tcW w:w="4678" w:type="dxa"/>
            <w:vAlign w:val="center"/>
          </w:tcPr>
          <w:p w14:paraId="4CEFAD3A" w14:textId="77777777" w:rsidR="005609FC" w:rsidRPr="00747E4C" w:rsidRDefault="005609FC" w:rsidP="005609FC">
            <w:pPr>
              <w:pStyle w:val="N1"/>
              <w:widowControl w:val="0"/>
              <w:spacing w:before="40" w:after="40"/>
              <w:jc w:val="both"/>
              <w:rPr>
                <w:rFonts w:asciiTheme="minorHAnsi" w:hAnsiTheme="minorHAnsi"/>
                <w:caps w:val="0"/>
                <w:snapToGrid w:val="0"/>
                <w:sz w:val="22"/>
                <w:szCs w:val="22"/>
              </w:rPr>
            </w:pPr>
            <w:r w:rsidRPr="00747E4C">
              <w:rPr>
                <w:rFonts w:asciiTheme="minorHAnsi" w:hAnsiTheme="minorHAnsi"/>
                <w:caps w:val="0"/>
                <w:snapToGrid w:val="0"/>
                <w:sz w:val="22"/>
                <w:szCs w:val="22"/>
              </w:rPr>
              <w:t>Rozdělení investičních a neinvestičních prostředků v rámci maximální částky dotace</w:t>
            </w:r>
            <w:r w:rsidRPr="00747E4C">
              <w:rPr>
                <w:rStyle w:val="Znakapoznpodarou"/>
                <w:rFonts w:asciiTheme="minorHAnsi" w:eastAsiaTheme="majorEastAsia" w:hAnsiTheme="minorHAnsi"/>
                <w:caps w:val="0"/>
                <w:snapToGrid w:val="0"/>
                <w:sz w:val="22"/>
                <w:szCs w:val="22"/>
              </w:rPr>
              <w:footnoteReference w:id="2"/>
            </w:r>
          </w:p>
        </w:tc>
        <w:tc>
          <w:tcPr>
            <w:tcW w:w="2126" w:type="dxa"/>
            <w:vAlign w:val="center"/>
          </w:tcPr>
          <w:p w14:paraId="21D55CA5" w14:textId="77777777" w:rsidR="005609FC" w:rsidRPr="00747E4C" w:rsidRDefault="005609FC" w:rsidP="005609FC">
            <w:pPr>
              <w:spacing w:before="40" w:after="40"/>
              <w:jc w:val="center"/>
              <w:rPr>
                <w:rFonts w:cs="Arial"/>
              </w:rPr>
            </w:pPr>
            <w:r w:rsidRPr="00747E4C">
              <w:rPr>
                <w:rFonts w:cs="Arial"/>
              </w:rPr>
              <w:t>[…]</w:t>
            </w:r>
          </w:p>
        </w:tc>
        <w:tc>
          <w:tcPr>
            <w:tcW w:w="2268" w:type="dxa"/>
            <w:vAlign w:val="center"/>
          </w:tcPr>
          <w:p w14:paraId="114FDFDD" w14:textId="77777777" w:rsidR="005609FC" w:rsidRPr="00747E4C" w:rsidRDefault="005609FC" w:rsidP="005609FC">
            <w:pPr>
              <w:spacing w:before="40" w:after="40"/>
              <w:jc w:val="center"/>
              <w:rPr>
                <w:rFonts w:cs="Arial"/>
              </w:rPr>
            </w:pPr>
            <w:r w:rsidRPr="00747E4C">
              <w:rPr>
                <w:rFonts w:cs="Arial"/>
              </w:rPr>
              <w:t>[…]</w:t>
            </w:r>
          </w:p>
        </w:tc>
      </w:tr>
      <w:tr w:rsidR="005609FC" w:rsidRPr="005C4078" w14:paraId="4C074B04" w14:textId="77777777" w:rsidTr="001536B6">
        <w:tc>
          <w:tcPr>
            <w:tcW w:w="4678" w:type="dxa"/>
            <w:vAlign w:val="center"/>
          </w:tcPr>
          <w:p w14:paraId="3A86D37C" w14:textId="77777777" w:rsidR="005609FC" w:rsidRPr="00747E4C" w:rsidRDefault="005609FC" w:rsidP="005609FC">
            <w:pPr>
              <w:pStyle w:val="Odstavecseseznamem"/>
              <w:widowControl w:val="0"/>
              <w:numPr>
                <w:ilvl w:val="0"/>
                <w:numId w:val="2"/>
              </w:numPr>
              <w:overflowPunct w:val="0"/>
              <w:autoSpaceDE w:val="0"/>
              <w:autoSpaceDN w:val="0"/>
              <w:adjustRightInd w:val="0"/>
              <w:spacing w:after="0" w:line="240" w:lineRule="auto"/>
              <w:jc w:val="left"/>
              <w:textAlignment w:val="baseline"/>
            </w:pPr>
            <w:r w:rsidRPr="00747E4C">
              <w:rPr>
                <w:rFonts w:cs="Arial"/>
                <w:bCs/>
                <w:snapToGrid w:val="0"/>
              </w:rPr>
              <w:t>neinvestiční prostředky</w:t>
            </w:r>
          </w:p>
        </w:tc>
        <w:tc>
          <w:tcPr>
            <w:tcW w:w="2126" w:type="dxa"/>
            <w:vAlign w:val="center"/>
          </w:tcPr>
          <w:p w14:paraId="616C0420" w14:textId="77777777" w:rsidR="005609FC" w:rsidRPr="00747E4C" w:rsidRDefault="005609FC" w:rsidP="005609FC">
            <w:pPr>
              <w:spacing w:before="40" w:after="40"/>
              <w:jc w:val="center"/>
              <w:rPr>
                <w:rFonts w:cs="Arial"/>
              </w:rPr>
            </w:pPr>
            <w:r w:rsidRPr="00747E4C">
              <w:rPr>
                <w:rFonts w:cs="Arial"/>
              </w:rPr>
              <w:t>[…]</w:t>
            </w:r>
          </w:p>
        </w:tc>
        <w:tc>
          <w:tcPr>
            <w:tcW w:w="2268" w:type="dxa"/>
            <w:vAlign w:val="center"/>
          </w:tcPr>
          <w:p w14:paraId="07E735CA" w14:textId="77777777" w:rsidR="005609FC" w:rsidRPr="00747E4C" w:rsidRDefault="005609FC" w:rsidP="005609FC">
            <w:pPr>
              <w:spacing w:before="40" w:after="40"/>
              <w:jc w:val="center"/>
              <w:rPr>
                <w:rFonts w:cs="Arial"/>
              </w:rPr>
            </w:pPr>
            <w:r w:rsidRPr="00747E4C">
              <w:rPr>
                <w:rFonts w:cs="Arial"/>
              </w:rPr>
              <w:t>-</w:t>
            </w:r>
          </w:p>
        </w:tc>
      </w:tr>
      <w:tr w:rsidR="005609FC" w:rsidRPr="005C4078" w14:paraId="51E2B6E2" w14:textId="77777777" w:rsidTr="001536B6">
        <w:tc>
          <w:tcPr>
            <w:tcW w:w="4678" w:type="dxa"/>
            <w:vAlign w:val="center"/>
          </w:tcPr>
          <w:p w14:paraId="4ED5C0FA" w14:textId="77777777" w:rsidR="005609FC" w:rsidRPr="00747E4C" w:rsidRDefault="005609FC" w:rsidP="005609FC">
            <w:pPr>
              <w:pStyle w:val="Odstavecseseznamem"/>
              <w:widowControl w:val="0"/>
              <w:numPr>
                <w:ilvl w:val="0"/>
                <w:numId w:val="2"/>
              </w:numPr>
              <w:overflowPunct w:val="0"/>
              <w:autoSpaceDE w:val="0"/>
              <w:autoSpaceDN w:val="0"/>
              <w:adjustRightInd w:val="0"/>
              <w:spacing w:after="0" w:line="240" w:lineRule="auto"/>
              <w:jc w:val="left"/>
              <w:textAlignment w:val="baseline"/>
              <w:rPr>
                <w:rFonts w:cs="Arial"/>
                <w:bCs/>
                <w:snapToGrid w:val="0"/>
              </w:rPr>
            </w:pPr>
            <w:r w:rsidRPr="00747E4C">
              <w:rPr>
                <w:rFonts w:cs="Arial"/>
                <w:bCs/>
                <w:snapToGrid w:val="0"/>
              </w:rPr>
              <w:t>investiční prostředky</w:t>
            </w:r>
          </w:p>
        </w:tc>
        <w:tc>
          <w:tcPr>
            <w:tcW w:w="2126" w:type="dxa"/>
            <w:vAlign w:val="center"/>
          </w:tcPr>
          <w:p w14:paraId="79591F91" w14:textId="60A42137" w:rsidR="005609FC" w:rsidRPr="00747E4C" w:rsidRDefault="007F570E" w:rsidP="005609FC">
            <w:pPr>
              <w:spacing w:before="40" w:after="40"/>
              <w:jc w:val="center"/>
              <w:rPr>
                <w:rFonts w:cs="Arial"/>
              </w:rPr>
            </w:pPr>
            <w:r>
              <w:rPr>
                <w:rFonts w:cs="Arial"/>
              </w:rPr>
              <w:t>0</w:t>
            </w:r>
          </w:p>
        </w:tc>
        <w:tc>
          <w:tcPr>
            <w:tcW w:w="2268" w:type="dxa"/>
            <w:vAlign w:val="center"/>
          </w:tcPr>
          <w:p w14:paraId="6B1CFB54" w14:textId="77777777" w:rsidR="005609FC" w:rsidRPr="00747E4C" w:rsidRDefault="005609FC" w:rsidP="005609FC">
            <w:pPr>
              <w:spacing w:before="40" w:after="40"/>
              <w:jc w:val="center"/>
              <w:rPr>
                <w:rFonts w:cs="Arial"/>
              </w:rPr>
            </w:pPr>
            <w:r w:rsidRPr="00747E4C">
              <w:rPr>
                <w:rFonts w:cs="Arial"/>
              </w:rPr>
              <w:t>-</w:t>
            </w:r>
          </w:p>
        </w:tc>
      </w:tr>
    </w:tbl>
    <w:p w14:paraId="018ECF34" w14:textId="77777777" w:rsidR="000F7B8B" w:rsidRPr="00747E4C" w:rsidRDefault="000F7B8B" w:rsidP="000F7B8B">
      <w:pPr>
        <w:pStyle w:val="slovanseznam"/>
        <w:numPr>
          <w:ilvl w:val="1"/>
          <w:numId w:val="1"/>
        </w:numPr>
        <w:tabs>
          <w:tab w:val="num" w:pos="426"/>
        </w:tabs>
        <w:spacing w:before="240" w:line="240" w:lineRule="auto"/>
        <w:ind w:left="425" w:hanging="425"/>
        <w:rPr>
          <w:sz w:val="22"/>
          <w:szCs w:val="22"/>
        </w:rPr>
      </w:pPr>
      <w:r w:rsidRPr="00747E4C">
        <w:rPr>
          <w:sz w:val="22"/>
          <w:szCs w:val="22"/>
        </w:rPr>
        <w:t>Příjemce je povinen respektovat stanovený podíl (v %) zapojení vlastních zdrojů do financování způsobilých výdajů projektu dle výše uvedené tabulky. Vyjádření závazku vlastního financování částkou v Kč je pouze orientační.</w:t>
      </w:r>
    </w:p>
    <w:p w14:paraId="5EAF9BDC" w14:textId="77777777" w:rsidR="000F7B8B" w:rsidRPr="00747E4C" w:rsidRDefault="000F7B8B" w:rsidP="000F7B8B">
      <w:pPr>
        <w:pStyle w:val="slovanseznam"/>
        <w:numPr>
          <w:ilvl w:val="1"/>
          <w:numId w:val="1"/>
        </w:numPr>
        <w:tabs>
          <w:tab w:val="num" w:pos="426"/>
        </w:tabs>
        <w:spacing w:line="240" w:lineRule="auto"/>
        <w:ind w:left="425" w:hanging="425"/>
        <w:rPr>
          <w:sz w:val="22"/>
          <w:szCs w:val="22"/>
        </w:rPr>
      </w:pPr>
      <w:r w:rsidRPr="00747E4C">
        <w:rPr>
          <w:sz w:val="22"/>
          <w:szCs w:val="22"/>
        </w:rPr>
        <w:t xml:space="preserve">Dotace je poskytována na způsobilé výdaje projektu, které nejsou či nebudou kryty z příjmů projektu připadajících na způsobilé výdaje, ani z jiných zdrojů příjemce. </w:t>
      </w:r>
    </w:p>
    <w:p w14:paraId="11FB39F1" w14:textId="77777777" w:rsidR="000F7B8B" w:rsidRPr="00747E4C" w:rsidRDefault="000F7B8B" w:rsidP="000F7B8B">
      <w:pPr>
        <w:pStyle w:val="slovanseznam"/>
        <w:numPr>
          <w:ilvl w:val="1"/>
          <w:numId w:val="1"/>
        </w:numPr>
        <w:tabs>
          <w:tab w:val="num" w:pos="426"/>
        </w:tabs>
        <w:spacing w:line="240" w:lineRule="auto"/>
        <w:ind w:left="425" w:hanging="425"/>
        <w:rPr>
          <w:sz w:val="22"/>
          <w:szCs w:val="22"/>
        </w:rPr>
      </w:pPr>
      <w:r w:rsidRPr="00747E4C">
        <w:rPr>
          <w:sz w:val="22"/>
          <w:szCs w:val="22"/>
        </w:rPr>
        <w:t>Pro zapojení zdrojů financování dle výše uvedené tabulky jsou rozhodující hodnoty podílů vyjádřené v procentech. Vyjádření v Kč je jako závazné a maximálně možné stanoveno pouze pro zdroj „Azylový, migrační a integrační fond“, pro další zdroj</w:t>
      </w:r>
      <w:r w:rsidR="005609FC">
        <w:rPr>
          <w:sz w:val="22"/>
          <w:szCs w:val="22"/>
        </w:rPr>
        <w:t>e</w:t>
      </w:r>
      <w:r w:rsidRPr="00747E4C">
        <w:rPr>
          <w:sz w:val="22"/>
          <w:szCs w:val="22"/>
        </w:rPr>
        <w:t xml:space="preserve"> se jedná o vyjádření pouze orientační.</w:t>
      </w:r>
    </w:p>
    <w:p w14:paraId="6DEA8A85" w14:textId="77777777" w:rsidR="000F7B8B" w:rsidRPr="00747E4C" w:rsidRDefault="000F7B8B" w:rsidP="000F7B8B">
      <w:pPr>
        <w:pStyle w:val="slovanseznam"/>
        <w:numPr>
          <w:ilvl w:val="1"/>
          <w:numId w:val="1"/>
        </w:numPr>
        <w:tabs>
          <w:tab w:val="num" w:pos="426"/>
        </w:tabs>
        <w:spacing w:line="240" w:lineRule="auto"/>
        <w:ind w:left="425" w:hanging="425"/>
        <w:rPr>
          <w:sz w:val="22"/>
          <w:szCs w:val="22"/>
        </w:rPr>
      </w:pPr>
      <w:r w:rsidRPr="00747E4C">
        <w:rPr>
          <w:sz w:val="22"/>
          <w:szCs w:val="22"/>
        </w:rPr>
        <w:t xml:space="preserve">Skutečná výše dotace, která bude příjemci poskytnuta, bude určena na základě skutečně vzniklých, odůvodněných a řádně prokázaných způsobilých výdajů. Výše dotace bude v souladu s pravidly NP AMIF a právními předpisy ČR a EU snížena o ty příjmy, které projekt vytvoří v průběhu své realizace. </w:t>
      </w:r>
    </w:p>
    <w:p w14:paraId="59D10474" w14:textId="77777777" w:rsidR="000F7B8B" w:rsidRPr="00747E4C" w:rsidRDefault="000F7B8B" w:rsidP="000F7B8B">
      <w:pPr>
        <w:pStyle w:val="slovanseznam"/>
        <w:numPr>
          <w:ilvl w:val="1"/>
          <w:numId w:val="1"/>
        </w:numPr>
        <w:tabs>
          <w:tab w:val="num" w:pos="426"/>
        </w:tabs>
        <w:spacing w:after="60" w:line="240" w:lineRule="auto"/>
        <w:ind w:left="425" w:hanging="425"/>
        <w:rPr>
          <w:sz w:val="22"/>
          <w:szCs w:val="22"/>
        </w:rPr>
      </w:pPr>
      <w:r w:rsidRPr="00747E4C">
        <w:rPr>
          <w:sz w:val="22"/>
          <w:szCs w:val="22"/>
        </w:rPr>
        <w:t>Dojde-li v průběhu realizace projektu ke snížení způsobilých výdajů prokázaných příjemcem, musí být vždy zachovány procentní podíly pro zapojení vlastního financování způsobilých výdajů a dotace uvedené v bodě 2.1 tohoto článku.</w:t>
      </w:r>
    </w:p>
    <w:p w14:paraId="42A4C4F6" w14:textId="77777777" w:rsidR="000F7B8B" w:rsidRDefault="000F7B8B" w:rsidP="000F7B8B">
      <w:pPr>
        <w:pStyle w:val="slovanseznam"/>
        <w:numPr>
          <w:ilvl w:val="1"/>
          <w:numId w:val="1"/>
        </w:numPr>
        <w:tabs>
          <w:tab w:val="num" w:pos="426"/>
        </w:tabs>
        <w:spacing w:after="240" w:line="240" w:lineRule="auto"/>
        <w:ind w:left="425" w:hanging="425"/>
        <w:rPr>
          <w:sz w:val="22"/>
          <w:szCs w:val="22"/>
        </w:rPr>
      </w:pPr>
      <w:r w:rsidRPr="00747E4C">
        <w:rPr>
          <w:sz w:val="22"/>
          <w:szCs w:val="22"/>
        </w:rPr>
        <w:t>Režim financování projektu: ex-ante.</w:t>
      </w:r>
    </w:p>
    <w:p w14:paraId="4624DDA5" w14:textId="77777777" w:rsidR="000F7B8B" w:rsidRPr="00747E4C" w:rsidRDefault="000F7B8B" w:rsidP="000F7B8B">
      <w:pPr>
        <w:pStyle w:val="slovanseznam"/>
        <w:numPr>
          <w:ilvl w:val="0"/>
          <w:numId w:val="7"/>
        </w:numPr>
        <w:spacing w:line="240" w:lineRule="auto"/>
        <w:rPr>
          <w:b/>
          <w:bCs/>
          <w:sz w:val="22"/>
          <w:szCs w:val="22"/>
        </w:rPr>
      </w:pPr>
      <w:r w:rsidRPr="00747E4C">
        <w:rPr>
          <w:b/>
          <w:bCs/>
          <w:sz w:val="22"/>
          <w:szCs w:val="22"/>
        </w:rPr>
        <w:lastRenderedPageBreak/>
        <w:t>Účel dotace</w:t>
      </w:r>
    </w:p>
    <w:p w14:paraId="0F57D956" w14:textId="5940F7A6" w:rsidR="000F7B8B" w:rsidRPr="00747E4C" w:rsidRDefault="000F7B8B" w:rsidP="000F7B8B">
      <w:pPr>
        <w:pStyle w:val="Zhlav"/>
        <w:tabs>
          <w:tab w:val="clear" w:pos="4536"/>
          <w:tab w:val="clear" w:pos="9072"/>
        </w:tabs>
        <w:spacing w:after="240"/>
        <w:rPr>
          <w:rFonts w:cs="Arial"/>
        </w:rPr>
      </w:pPr>
      <w:r w:rsidRPr="00747E4C">
        <w:rPr>
          <w:rFonts w:cs="Arial"/>
        </w:rPr>
        <w:t>V rámci realizace projektu identifikovaného názvem a registračním číslem v úvodní části tohoto Rozhodnutí je účelem dotace</w:t>
      </w:r>
      <w:r w:rsidR="005609FC">
        <w:rPr>
          <w:rFonts w:cs="Arial"/>
        </w:rPr>
        <w:t xml:space="preserve"> </w:t>
      </w:r>
      <w:r w:rsidR="005C320F">
        <w:rPr>
          <w:rFonts w:cs="Arial"/>
        </w:rPr>
        <w:t xml:space="preserve">zajištění provozu </w:t>
      </w:r>
      <w:r w:rsidR="005C320F" w:rsidRPr="00670DDA">
        <w:rPr>
          <w:rFonts w:cs="Arial"/>
        </w:rPr>
        <w:t>centra dle § 155a zákona č. 326/1999 Sb., ve znění pozdějších předpisů</w:t>
      </w:r>
      <w:r w:rsidR="005C320F" w:rsidRPr="00FC7138">
        <w:rPr>
          <w:rFonts w:cs="Arial"/>
        </w:rPr>
        <w:t xml:space="preserve"> prostřednictvím </w:t>
      </w:r>
      <w:r w:rsidR="005C320F">
        <w:rPr>
          <w:rFonts w:cs="Arial"/>
        </w:rPr>
        <w:t>realizace komponenty AMIF a komplementární komponenty stanovené ve výzvě AMIF č. 28 a to následujícím způsobem</w:t>
      </w:r>
      <w:r w:rsidRPr="00747E4C">
        <w:rPr>
          <w:rFonts w:cs="Arial"/>
        </w:rPr>
        <w:t xml:space="preserve">: </w:t>
      </w:r>
      <w:r w:rsidRPr="008202EC">
        <w:rPr>
          <w:rFonts w:cs="Arial"/>
          <w:highlight w:val="yellow"/>
        </w:rPr>
        <w:t>[…]</w:t>
      </w:r>
      <w:r w:rsidRPr="00747E4C">
        <w:rPr>
          <w:rFonts w:cs="Arial"/>
          <w:vertAlign w:val="superscript"/>
        </w:rPr>
        <w:footnoteReference w:id="3"/>
      </w:r>
    </w:p>
    <w:p w14:paraId="38397C47" w14:textId="77777777" w:rsidR="000F7B8B" w:rsidRPr="00747E4C" w:rsidRDefault="000F7B8B" w:rsidP="000F7B8B">
      <w:pPr>
        <w:pStyle w:val="slovanseznam"/>
        <w:numPr>
          <w:ilvl w:val="0"/>
          <w:numId w:val="7"/>
        </w:numPr>
        <w:spacing w:line="240" w:lineRule="auto"/>
        <w:rPr>
          <w:b/>
          <w:bCs/>
          <w:sz w:val="22"/>
          <w:szCs w:val="22"/>
        </w:rPr>
      </w:pPr>
      <w:r w:rsidRPr="00747E4C">
        <w:rPr>
          <w:b/>
          <w:bCs/>
          <w:sz w:val="22"/>
          <w:szCs w:val="22"/>
        </w:rPr>
        <w:t>Lhůta, v níž má být dosaženo účelu</w:t>
      </w:r>
    </w:p>
    <w:p w14:paraId="106186F0" w14:textId="77777777" w:rsidR="000F7B8B" w:rsidRPr="00747E4C" w:rsidRDefault="000F7B8B" w:rsidP="000F7B8B">
      <w:pPr>
        <w:pStyle w:val="Zhlav"/>
        <w:tabs>
          <w:tab w:val="clear" w:pos="4536"/>
          <w:tab w:val="clear" w:pos="9072"/>
        </w:tabs>
        <w:spacing w:after="60"/>
        <w:rPr>
          <w:rFonts w:cs="Arial"/>
        </w:rPr>
      </w:pPr>
      <w:r w:rsidRPr="00747E4C">
        <w:rPr>
          <w:rFonts w:cs="Arial"/>
        </w:rPr>
        <w:t xml:space="preserve">Účelu dotace musí být dosaženo ve lhůtě: </w:t>
      </w:r>
    </w:p>
    <w:p w14:paraId="0882622F" w14:textId="77777777" w:rsidR="000F7B8B" w:rsidRPr="00747E4C" w:rsidRDefault="000F7B8B" w:rsidP="000F7B8B">
      <w:pPr>
        <w:pStyle w:val="Zhlav"/>
        <w:numPr>
          <w:ilvl w:val="0"/>
          <w:numId w:val="3"/>
        </w:numPr>
        <w:tabs>
          <w:tab w:val="left" w:pos="5940"/>
        </w:tabs>
        <w:spacing w:after="60" w:line="240" w:lineRule="auto"/>
        <w:rPr>
          <w:rFonts w:cs="Arial"/>
        </w:rPr>
      </w:pPr>
      <w:r w:rsidRPr="00747E4C">
        <w:rPr>
          <w:rFonts w:cs="Arial"/>
        </w:rPr>
        <w:t>datum zahájení realizace projektu:</w:t>
      </w:r>
      <w:r w:rsidRPr="00747E4C">
        <w:rPr>
          <w:rFonts w:cs="Arial"/>
        </w:rPr>
        <w:tab/>
      </w:r>
      <w:r w:rsidRPr="008202EC">
        <w:rPr>
          <w:rFonts w:cs="Arial"/>
          <w:highlight w:val="yellow"/>
        </w:rPr>
        <w:t>[…]</w:t>
      </w:r>
    </w:p>
    <w:p w14:paraId="0CFD5302" w14:textId="77777777" w:rsidR="000F7B8B" w:rsidRPr="00747E4C" w:rsidRDefault="000F7B8B" w:rsidP="000F7B8B">
      <w:pPr>
        <w:pStyle w:val="Zhlav"/>
        <w:numPr>
          <w:ilvl w:val="0"/>
          <w:numId w:val="3"/>
        </w:numPr>
        <w:tabs>
          <w:tab w:val="left" w:pos="5940"/>
        </w:tabs>
        <w:spacing w:after="240" w:line="240" w:lineRule="auto"/>
        <w:ind w:left="714" w:hanging="357"/>
        <w:rPr>
          <w:rFonts w:cs="Arial"/>
        </w:rPr>
      </w:pPr>
      <w:r w:rsidRPr="00747E4C">
        <w:rPr>
          <w:rFonts w:cs="Arial"/>
        </w:rPr>
        <w:t>datum ukončení realizace projektu nejpozději do:</w:t>
      </w:r>
      <w:r w:rsidRPr="00747E4C">
        <w:rPr>
          <w:rFonts w:cs="Arial"/>
        </w:rPr>
        <w:tab/>
      </w:r>
      <w:r w:rsidRPr="008202EC">
        <w:rPr>
          <w:rFonts w:cs="Arial"/>
          <w:highlight w:val="yellow"/>
        </w:rPr>
        <w:t>[…]</w:t>
      </w:r>
    </w:p>
    <w:p w14:paraId="6D663476" w14:textId="77777777" w:rsidR="000F7B8B" w:rsidRPr="00747E4C" w:rsidRDefault="000F7B8B" w:rsidP="000F7B8B">
      <w:pPr>
        <w:pStyle w:val="slovanseznam"/>
        <w:numPr>
          <w:ilvl w:val="0"/>
          <w:numId w:val="7"/>
        </w:numPr>
        <w:spacing w:line="240" w:lineRule="auto"/>
        <w:rPr>
          <w:b/>
          <w:bCs/>
          <w:sz w:val="22"/>
          <w:szCs w:val="22"/>
        </w:rPr>
      </w:pPr>
      <w:r w:rsidRPr="00747E4C">
        <w:rPr>
          <w:b/>
          <w:bCs/>
          <w:sz w:val="22"/>
          <w:szCs w:val="22"/>
        </w:rPr>
        <w:t>Vzájemná komunikace poskytovatele a příjemce</w:t>
      </w:r>
    </w:p>
    <w:p w14:paraId="04F790AD" w14:textId="77777777" w:rsidR="000F7B8B" w:rsidRPr="00747E4C" w:rsidRDefault="000F7B8B" w:rsidP="000F7B8B">
      <w:pPr>
        <w:pStyle w:val="Zhlav"/>
        <w:tabs>
          <w:tab w:val="clear" w:pos="4536"/>
          <w:tab w:val="clear" w:pos="9072"/>
        </w:tabs>
        <w:spacing w:after="60"/>
        <w:rPr>
          <w:rFonts w:cs="Arial"/>
        </w:rPr>
      </w:pPr>
      <w:r w:rsidRPr="00747E4C">
        <w:rPr>
          <w:rFonts w:cs="Arial"/>
        </w:rPr>
        <w:t xml:space="preserve">Příjemce a poskytovatel budou v případě doručování písemností, které musí být opatřeny podpisem osoby oprávněné za daný subjekt jednat, přednostně datové schránky. Příjemce je povinen zajistit, aby se seznámil se všemi zprávami, které mu budou od poskytovatele doručeny prostřednictvím datových schránek a emailové pošty. Přijetím tohoto Rozhodnutí příjemce vyjadřuje souhlas s přednostním doručováním písemností prostřednictvím datové schránky. </w:t>
      </w:r>
    </w:p>
    <w:p w14:paraId="2875EF6D" w14:textId="77777777" w:rsidR="000F7B8B" w:rsidRPr="00747E4C" w:rsidRDefault="000F7B8B" w:rsidP="000F7B8B">
      <w:pPr>
        <w:spacing w:before="360"/>
        <w:jc w:val="center"/>
        <w:rPr>
          <w:rFonts w:cs="Arial"/>
          <w:b/>
        </w:rPr>
      </w:pPr>
      <w:r w:rsidRPr="00747E4C">
        <w:rPr>
          <w:rFonts w:cs="Arial"/>
          <w:b/>
        </w:rPr>
        <w:t xml:space="preserve">Část II </w:t>
      </w:r>
    </w:p>
    <w:p w14:paraId="4F6EF360" w14:textId="77777777" w:rsidR="000F7B8B" w:rsidRPr="00747E4C" w:rsidRDefault="000F7B8B" w:rsidP="000F7B8B">
      <w:pPr>
        <w:jc w:val="center"/>
        <w:rPr>
          <w:rFonts w:cs="Arial"/>
          <w:b/>
        </w:rPr>
      </w:pPr>
      <w:r w:rsidRPr="00747E4C">
        <w:rPr>
          <w:rFonts w:cs="Arial"/>
          <w:b/>
        </w:rPr>
        <w:t>Obecné povinnosti příjemce dotace</w:t>
      </w:r>
    </w:p>
    <w:p w14:paraId="6E7B8E5A" w14:textId="77777777" w:rsidR="000F7B8B" w:rsidRPr="00747E4C" w:rsidRDefault="000F7B8B" w:rsidP="000F7B8B">
      <w:pPr>
        <w:pStyle w:val="slovanseznam"/>
        <w:numPr>
          <w:ilvl w:val="0"/>
          <w:numId w:val="8"/>
        </w:numPr>
        <w:spacing w:before="240" w:line="240" w:lineRule="auto"/>
        <w:ind w:left="357" w:hanging="357"/>
        <w:rPr>
          <w:b/>
          <w:bCs/>
          <w:sz w:val="22"/>
          <w:szCs w:val="22"/>
        </w:rPr>
      </w:pPr>
      <w:r w:rsidRPr="00747E4C">
        <w:rPr>
          <w:b/>
          <w:bCs/>
          <w:sz w:val="22"/>
          <w:szCs w:val="22"/>
        </w:rPr>
        <w:t xml:space="preserve">Užití dotace </w:t>
      </w:r>
    </w:p>
    <w:p w14:paraId="151102CA" w14:textId="77777777" w:rsidR="000F7B8B" w:rsidRPr="00747E4C" w:rsidRDefault="000F7B8B" w:rsidP="000F7B8B">
      <w:pPr>
        <w:pStyle w:val="slovanseznam"/>
        <w:numPr>
          <w:ilvl w:val="1"/>
          <w:numId w:val="8"/>
        </w:numPr>
        <w:spacing w:line="240" w:lineRule="auto"/>
        <w:rPr>
          <w:sz w:val="22"/>
          <w:szCs w:val="22"/>
        </w:rPr>
      </w:pPr>
      <w:r w:rsidRPr="00747E4C">
        <w:rPr>
          <w:sz w:val="22"/>
          <w:szCs w:val="22"/>
        </w:rPr>
        <w:t>Použití dotace je upraveno nejen tímto Rozhodnutím a právními předpisy ČR a EU, ale rovněž pravidly, která nemají povahu právních předpisů a jsou vydávána poskytovatelem ve formě dokumentů:</w:t>
      </w:r>
    </w:p>
    <w:p w14:paraId="48A4CF08" w14:textId="77777777" w:rsidR="000F7B8B" w:rsidRDefault="000F7B8B" w:rsidP="000F7B8B">
      <w:pPr>
        <w:pStyle w:val="slovanseznam"/>
        <w:numPr>
          <w:ilvl w:val="0"/>
          <w:numId w:val="4"/>
        </w:numPr>
        <w:tabs>
          <w:tab w:val="num" w:pos="1620"/>
        </w:tabs>
        <w:spacing w:after="0" w:line="240" w:lineRule="auto"/>
        <w:rPr>
          <w:sz w:val="22"/>
          <w:szCs w:val="22"/>
        </w:rPr>
      </w:pPr>
      <w:r w:rsidRPr="00747E4C">
        <w:rPr>
          <w:sz w:val="22"/>
          <w:szCs w:val="22"/>
        </w:rPr>
        <w:t>Příručka pro žadatele a příjemce finanční podpory NP AMIF</w:t>
      </w:r>
    </w:p>
    <w:p w14:paraId="75A742F7" w14:textId="77777777" w:rsidR="005609FC" w:rsidRPr="00747E4C" w:rsidRDefault="005609FC" w:rsidP="000F7B8B">
      <w:pPr>
        <w:pStyle w:val="slovanseznam"/>
        <w:numPr>
          <w:ilvl w:val="0"/>
          <w:numId w:val="4"/>
        </w:numPr>
        <w:tabs>
          <w:tab w:val="num" w:pos="1620"/>
        </w:tabs>
        <w:spacing w:after="0" w:line="240" w:lineRule="auto"/>
        <w:rPr>
          <w:sz w:val="22"/>
          <w:szCs w:val="22"/>
        </w:rPr>
      </w:pPr>
      <w:r>
        <w:rPr>
          <w:sz w:val="22"/>
          <w:szCs w:val="22"/>
        </w:rPr>
        <w:t>Výzva AMIF č. 28</w:t>
      </w:r>
    </w:p>
    <w:p w14:paraId="2CC0EE80" w14:textId="77777777" w:rsidR="000F7B8B" w:rsidRPr="008202EC" w:rsidRDefault="000F7B8B" w:rsidP="000F7B8B">
      <w:pPr>
        <w:pStyle w:val="slovanseznam"/>
        <w:numPr>
          <w:ilvl w:val="0"/>
          <w:numId w:val="4"/>
        </w:numPr>
        <w:tabs>
          <w:tab w:val="num" w:pos="1478"/>
        </w:tabs>
        <w:spacing w:line="240" w:lineRule="auto"/>
        <w:ind w:left="1066" w:hanging="357"/>
        <w:rPr>
          <w:sz w:val="22"/>
          <w:szCs w:val="22"/>
          <w:highlight w:val="yellow"/>
        </w:rPr>
      </w:pPr>
      <w:r w:rsidRPr="008202EC">
        <w:rPr>
          <w:sz w:val="22"/>
          <w:szCs w:val="22"/>
          <w:highlight w:val="yellow"/>
        </w:rPr>
        <w:t>[…]</w:t>
      </w:r>
    </w:p>
    <w:p w14:paraId="008A6637" w14:textId="139B1E1D" w:rsidR="000F7B8B" w:rsidRPr="00747E4C" w:rsidRDefault="000F7B8B" w:rsidP="000F7B8B">
      <w:pPr>
        <w:pStyle w:val="slovanseznam"/>
        <w:spacing w:after="240"/>
        <w:ind w:left="709"/>
        <w:rPr>
          <w:sz w:val="22"/>
          <w:szCs w:val="22"/>
        </w:rPr>
      </w:pPr>
      <w:r w:rsidRPr="00747E4C">
        <w:rPr>
          <w:sz w:val="22"/>
          <w:szCs w:val="22"/>
        </w:rPr>
        <w:t xml:space="preserve">Dokumenty uvedené v odrážkách jsou uveřejněny na webovém portálu Odpovědného orgánu </w:t>
      </w:r>
      <w:hyperlink r:id="rId8" w:history="1">
        <w:r w:rsidRPr="00747E4C">
          <w:rPr>
            <w:rStyle w:val="Hypertextovodkaz"/>
            <w:sz w:val="22"/>
            <w:szCs w:val="22"/>
          </w:rPr>
          <w:t>www.mvcr.cz</w:t>
        </w:r>
      </w:hyperlink>
      <w:r w:rsidRPr="00747E4C">
        <w:rPr>
          <w:sz w:val="22"/>
          <w:szCs w:val="22"/>
        </w:rPr>
        <w:t xml:space="preserve"> provozovaném poskytovatelem. Dále v textu tohoto Rozhodnutí je obsah těchto dokumentů označen souhrnně také jako „pravidla NP AMIF“. Pravidla NP AMIF jsou pro příjemce závazná. Závaznou verzí dokumentů uvedených v odrážkách je verze platná ke dni uskutečnění příslušného úkonu souvisejícího s realizací projektu nebo v den porušení příslušného ustanovení plynoucího z právních předpisů, Rozhodnutí či pravidel NP AMIF. V případě zadávání zakázek je pro příjemce závazná verze pravidel platná </w:t>
      </w:r>
      <w:r w:rsidRPr="00747E4C">
        <w:rPr>
          <w:iCs/>
          <w:sz w:val="22"/>
          <w:szCs w:val="22"/>
        </w:rPr>
        <w:t>v den zahájení zadávání zakázky</w:t>
      </w:r>
      <w:r w:rsidRPr="00747E4C">
        <w:rPr>
          <w:sz w:val="22"/>
          <w:szCs w:val="22"/>
        </w:rPr>
        <w:t>. O vydání nové verze pravidel NP AMIF uvědomí příjemce bez zbytečného odkladu elektronickou formou prostřednictvím emailové pošty. V případě rozporu obsahu tohoto Rozhodnutí a obsahu dokumentů v odrážkách má přednost obsah tohoto Rozhodnutí.</w:t>
      </w:r>
    </w:p>
    <w:p w14:paraId="58800AEB" w14:textId="77777777" w:rsidR="000F7B8B" w:rsidRPr="00747E4C" w:rsidRDefault="000F7B8B" w:rsidP="000F7B8B">
      <w:pPr>
        <w:pStyle w:val="slovanseznam"/>
        <w:numPr>
          <w:ilvl w:val="0"/>
          <w:numId w:val="8"/>
        </w:numPr>
        <w:spacing w:before="240" w:line="240" w:lineRule="auto"/>
        <w:ind w:left="357" w:hanging="357"/>
        <w:rPr>
          <w:b/>
          <w:bCs/>
          <w:sz w:val="22"/>
          <w:szCs w:val="22"/>
        </w:rPr>
      </w:pPr>
      <w:r w:rsidRPr="00747E4C">
        <w:rPr>
          <w:b/>
          <w:bCs/>
          <w:sz w:val="22"/>
          <w:szCs w:val="22"/>
        </w:rPr>
        <w:t>Splnění účelu a realizace projektu</w:t>
      </w:r>
    </w:p>
    <w:p w14:paraId="432FC964" w14:textId="77777777" w:rsidR="000F7B8B" w:rsidRPr="00747E4C" w:rsidRDefault="000F7B8B" w:rsidP="000F7B8B">
      <w:pPr>
        <w:pStyle w:val="slovanseznam"/>
        <w:numPr>
          <w:ilvl w:val="1"/>
          <w:numId w:val="8"/>
        </w:numPr>
        <w:spacing w:line="240" w:lineRule="auto"/>
        <w:rPr>
          <w:sz w:val="22"/>
          <w:szCs w:val="22"/>
        </w:rPr>
      </w:pPr>
      <w:r w:rsidRPr="00747E4C">
        <w:rPr>
          <w:sz w:val="22"/>
          <w:szCs w:val="22"/>
        </w:rPr>
        <w:t xml:space="preserve">Příjemce dotace je povinen splnit účel dotace uvedený v části I. bodě 3 tohoto Rozhodnutí. </w:t>
      </w:r>
    </w:p>
    <w:p w14:paraId="1B4DD57A" w14:textId="77777777" w:rsidR="000F7B8B" w:rsidRPr="00747E4C" w:rsidRDefault="000F7B8B" w:rsidP="000F7B8B">
      <w:pPr>
        <w:pStyle w:val="slovanseznam"/>
        <w:numPr>
          <w:ilvl w:val="1"/>
          <w:numId w:val="8"/>
        </w:numPr>
        <w:spacing w:after="0" w:line="240" w:lineRule="auto"/>
        <w:rPr>
          <w:sz w:val="22"/>
          <w:szCs w:val="22"/>
        </w:rPr>
      </w:pPr>
      <w:r w:rsidRPr="00747E4C">
        <w:rPr>
          <w:sz w:val="22"/>
          <w:szCs w:val="22"/>
        </w:rPr>
        <w:lastRenderedPageBreak/>
        <w:t>Příjemce je povinen při realizaci projektu dodržet údaje a skutečnosti, které jsou uvedeny v Žádosti o podporu</w:t>
      </w:r>
      <w:r w:rsidR="00616E76">
        <w:rPr>
          <w:sz w:val="22"/>
          <w:szCs w:val="22"/>
        </w:rPr>
        <w:t xml:space="preserve"> a Rozpočtu projektu, které jsou</w:t>
      </w:r>
      <w:r w:rsidRPr="00747E4C">
        <w:rPr>
          <w:sz w:val="22"/>
          <w:szCs w:val="22"/>
        </w:rPr>
        <w:t xml:space="preserve"> příloh</w:t>
      </w:r>
      <w:r w:rsidR="00616E76">
        <w:rPr>
          <w:sz w:val="22"/>
          <w:szCs w:val="22"/>
        </w:rPr>
        <w:t>ami</w:t>
      </w:r>
      <w:r w:rsidRPr="00747E4C">
        <w:rPr>
          <w:sz w:val="22"/>
          <w:szCs w:val="22"/>
        </w:rPr>
        <w:t xml:space="preserve"> č. 1</w:t>
      </w:r>
      <w:r w:rsidR="00616E76">
        <w:rPr>
          <w:sz w:val="22"/>
          <w:szCs w:val="22"/>
        </w:rPr>
        <w:t xml:space="preserve"> a 2</w:t>
      </w:r>
      <w:r w:rsidRPr="00747E4C">
        <w:rPr>
          <w:sz w:val="22"/>
          <w:szCs w:val="22"/>
        </w:rPr>
        <w:t xml:space="preserve"> tohoto Rozhodnutí, ve znění případných změn, ke kterým je příjemce oprávněn dle pravidel NP AMIF bez souhlasu poskytovatele, anebo ve znění změn, které poskytovatel dle pravidel NP AMIF schválil.</w:t>
      </w:r>
    </w:p>
    <w:p w14:paraId="14035C20" w14:textId="77777777" w:rsidR="000F7B8B" w:rsidRPr="00747E4C" w:rsidRDefault="000F7B8B" w:rsidP="000F7B8B">
      <w:pPr>
        <w:pStyle w:val="slovanseznam"/>
        <w:numPr>
          <w:ilvl w:val="0"/>
          <w:numId w:val="8"/>
        </w:numPr>
        <w:spacing w:before="240" w:line="240" w:lineRule="auto"/>
        <w:ind w:left="357" w:hanging="357"/>
        <w:rPr>
          <w:b/>
          <w:bCs/>
          <w:sz w:val="22"/>
          <w:szCs w:val="22"/>
        </w:rPr>
      </w:pPr>
      <w:r w:rsidRPr="00747E4C">
        <w:rPr>
          <w:b/>
          <w:bCs/>
          <w:sz w:val="22"/>
          <w:szCs w:val="22"/>
        </w:rPr>
        <w:t>Způsobilé výdaje</w:t>
      </w:r>
    </w:p>
    <w:p w14:paraId="5FF1F0F2" w14:textId="77777777" w:rsidR="000F7B8B" w:rsidRPr="00747E4C" w:rsidRDefault="000F7B8B" w:rsidP="000F7B8B">
      <w:pPr>
        <w:pStyle w:val="slovanseznam"/>
        <w:numPr>
          <w:ilvl w:val="1"/>
          <w:numId w:val="8"/>
        </w:numPr>
        <w:spacing w:line="240" w:lineRule="auto"/>
        <w:rPr>
          <w:sz w:val="22"/>
          <w:szCs w:val="22"/>
        </w:rPr>
      </w:pPr>
      <w:r w:rsidRPr="00747E4C">
        <w:rPr>
          <w:sz w:val="22"/>
          <w:szCs w:val="22"/>
        </w:rPr>
        <w:t>Příjemce dotace je oprávněn použít dotaci pouze na výdaje, které souvisejí s realizací projektu, jsou uvedeny ve schváleném rozpočtu projektu, příp. v rozpočtu, který příjemce upravil v souladu s pravidly NP AMIF, a je možné je dle pravidel NP AMIF</w:t>
      </w:r>
      <w:r w:rsidR="00856D74">
        <w:rPr>
          <w:sz w:val="22"/>
          <w:szCs w:val="22"/>
        </w:rPr>
        <w:t xml:space="preserve"> a výzvy AMIF č. 28 na základě režimu mixed-use</w:t>
      </w:r>
      <w:r w:rsidRPr="00747E4C">
        <w:rPr>
          <w:sz w:val="22"/>
          <w:szCs w:val="22"/>
        </w:rPr>
        <w:t xml:space="preserve"> považovat za způsobilé.</w:t>
      </w:r>
    </w:p>
    <w:p w14:paraId="5FB54C07" w14:textId="77777777" w:rsidR="000F7B8B" w:rsidRPr="00747E4C" w:rsidRDefault="000F7B8B" w:rsidP="000F7B8B">
      <w:pPr>
        <w:pStyle w:val="slovanseznam"/>
        <w:numPr>
          <w:ilvl w:val="1"/>
          <w:numId w:val="8"/>
        </w:numPr>
        <w:tabs>
          <w:tab w:val="num" w:pos="720"/>
        </w:tabs>
        <w:spacing w:line="240" w:lineRule="auto"/>
        <w:rPr>
          <w:sz w:val="22"/>
          <w:szCs w:val="22"/>
        </w:rPr>
      </w:pPr>
      <w:r w:rsidRPr="00747E4C">
        <w:rPr>
          <w:sz w:val="22"/>
          <w:szCs w:val="22"/>
        </w:rPr>
        <w:t>Příjemce se zavazuje nakupovat zboží, služby a stavební práce nejefektivnějším možným způsobem v daném čase a místě. Částky specifikované ve schváleném rozpočtu projektu nelze automaticky považovat za částky nejefektivnější.</w:t>
      </w:r>
    </w:p>
    <w:p w14:paraId="493299C2" w14:textId="77777777" w:rsidR="000F7B8B" w:rsidRPr="00747E4C" w:rsidRDefault="000F7B8B" w:rsidP="000F7B8B">
      <w:pPr>
        <w:pStyle w:val="slovanseznam"/>
        <w:numPr>
          <w:ilvl w:val="1"/>
          <w:numId w:val="8"/>
        </w:numPr>
        <w:tabs>
          <w:tab w:val="num" w:pos="720"/>
        </w:tabs>
        <w:spacing w:line="240" w:lineRule="auto"/>
        <w:rPr>
          <w:sz w:val="22"/>
          <w:szCs w:val="22"/>
        </w:rPr>
      </w:pPr>
      <w:r w:rsidRPr="00747E4C">
        <w:rPr>
          <w:sz w:val="22"/>
          <w:szCs w:val="22"/>
        </w:rPr>
        <w:t>Příjemce dotace je povinen zajistit úhradu veškerých výdajů projektu, které nejsou kryty výše uvedenou dotací (např. nezpůsobilé výdaje), aby byl dodržen účel poskytnutí dotace na daný projekt.</w:t>
      </w:r>
    </w:p>
    <w:p w14:paraId="354192ED" w14:textId="77777777" w:rsidR="000F7B8B" w:rsidRPr="00747E4C" w:rsidRDefault="000F7B8B" w:rsidP="000F7B8B">
      <w:pPr>
        <w:pStyle w:val="slovanseznam"/>
        <w:numPr>
          <w:ilvl w:val="0"/>
          <w:numId w:val="8"/>
        </w:numPr>
        <w:spacing w:before="240" w:line="240" w:lineRule="auto"/>
        <w:ind w:left="357" w:hanging="357"/>
        <w:rPr>
          <w:b/>
          <w:bCs/>
          <w:sz w:val="22"/>
          <w:szCs w:val="22"/>
        </w:rPr>
      </w:pPr>
      <w:r w:rsidRPr="00747E4C">
        <w:rPr>
          <w:b/>
          <w:bCs/>
          <w:sz w:val="22"/>
          <w:szCs w:val="22"/>
        </w:rPr>
        <w:t xml:space="preserve">Udržitelnost projektu </w:t>
      </w:r>
    </w:p>
    <w:p w14:paraId="2FAE53B5" w14:textId="717CDBE4" w:rsidR="000F7B8B" w:rsidRPr="00747E4C" w:rsidRDefault="00856D74" w:rsidP="000F7B8B">
      <w:pPr>
        <w:pStyle w:val="slovanseznam"/>
        <w:rPr>
          <w:sz w:val="22"/>
          <w:szCs w:val="22"/>
        </w:rPr>
      </w:pPr>
      <w:r>
        <w:rPr>
          <w:sz w:val="22"/>
          <w:szCs w:val="22"/>
        </w:rPr>
        <w:t>Jedná se o neinvestiční projekt. Udržitelnost investice se neuplatní.</w:t>
      </w:r>
    </w:p>
    <w:p w14:paraId="4DCE16C7" w14:textId="77777777" w:rsidR="000F7B8B" w:rsidRPr="00747E4C" w:rsidRDefault="000F7B8B" w:rsidP="000F7B8B">
      <w:pPr>
        <w:pStyle w:val="slovanseznam"/>
        <w:numPr>
          <w:ilvl w:val="0"/>
          <w:numId w:val="8"/>
        </w:numPr>
        <w:spacing w:before="240" w:line="240" w:lineRule="auto"/>
        <w:ind w:left="357" w:hanging="357"/>
        <w:rPr>
          <w:b/>
          <w:bCs/>
          <w:sz w:val="22"/>
          <w:szCs w:val="22"/>
        </w:rPr>
      </w:pPr>
      <w:r w:rsidRPr="00747E4C">
        <w:rPr>
          <w:b/>
          <w:bCs/>
          <w:sz w:val="22"/>
          <w:szCs w:val="22"/>
        </w:rPr>
        <w:t xml:space="preserve">Vedení účetnictví </w:t>
      </w:r>
    </w:p>
    <w:p w14:paraId="764CA9D4" w14:textId="77777777" w:rsidR="000F7B8B" w:rsidRDefault="000F7B8B" w:rsidP="000F7B8B">
      <w:pPr>
        <w:pStyle w:val="slovanseznam"/>
        <w:numPr>
          <w:ilvl w:val="1"/>
          <w:numId w:val="8"/>
        </w:numPr>
        <w:tabs>
          <w:tab w:val="num" w:pos="720"/>
        </w:tabs>
        <w:spacing w:line="240" w:lineRule="auto"/>
        <w:rPr>
          <w:sz w:val="22"/>
          <w:szCs w:val="22"/>
        </w:rPr>
      </w:pPr>
      <w:r w:rsidRPr="00747E4C">
        <w:rPr>
          <w:sz w:val="22"/>
          <w:szCs w:val="22"/>
        </w:rPr>
        <w:t>Příjemce je povinen řádně účtovat o veškerých příjmech a výdajích, resp. výnosech a nákladech. Příjemce je povinen vést účetnictví v souladu se zákonem č. 563/1991 Sb., o účetnictví, ve znění pozdějších předpisů, a vést příjmy a výdaje s jednoznačnou vazbou na projekt s výjimkou výdajů, které jsou financovány jakožto paušální výdaje dle § 14 odst. 7 rozpočtových pravidel, nebo je povinen vést pro projekt tzv. daňovou evidenci podle zákona č. 586/1992 Sb., o daních z příjmů, ve znění pozdějších předpisů, rozšířenou tak, aby příslušné doklady vztahující se k projektu splňovaly náležitosti účetního dokladu ve smyslu § 11 zákona č. 563/1991 Sb., (s výjimkou bodu f) tohoto zákona) a aby předmětné doklady byly správné, úplné, průkazné, srozumitelné, vedené v písemné formě chronologicky a způsobem zaručujícím jejich trvanlivost a aby uskutečněné příjmy a výdaje byly s výjimkou výdajů, které jsou financovány jakožto paušální výdaje dle § 14 odst. 7 rozpočtových pravidel, vedeny s jednoznačnou vazbou na projekt.</w:t>
      </w:r>
    </w:p>
    <w:p w14:paraId="761C2C8A" w14:textId="77777777" w:rsidR="00484B95" w:rsidRPr="00484B95" w:rsidRDefault="00484B95" w:rsidP="00484B95">
      <w:pPr>
        <w:pStyle w:val="slovanseznam"/>
        <w:numPr>
          <w:ilvl w:val="1"/>
          <w:numId w:val="8"/>
        </w:numPr>
        <w:tabs>
          <w:tab w:val="num" w:pos="720"/>
        </w:tabs>
        <w:spacing w:line="240" w:lineRule="auto"/>
        <w:rPr>
          <w:sz w:val="22"/>
        </w:rPr>
      </w:pPr>
      <w:r w:rsidRPr="00EF7301">
        <w:rPr>
          <w:sz w:val="22"/>
        </w:rPr>
        <w:t xml:space="preserve">V případě, že příjemcem projektu nebo partnerem projektu je mezinárodní organizace, která nevede účetnictví podle zákona č. 563/1991 Sb., o účetnictví, </w:t>
      </w:r>
      <w:r>
        <w:rPr>
          <w:sz w:val="22"/>
        </w:rPr>
        <w:t xml:space="preserve">vede </w:t>
      </w:r>
      <w:r w:rsidRPr="00EF7301">
        <w:rPr>
          <w:sz w:val="22"/>
        </w:rPr>
        <w:t>účetnictví projektu podle mezinárodně platných účetních standardů, které splňují základní zásady (zásada věrného a poctivého zobrazení tzv. fair and true view, zásada účetní jednotky, zásada objektivity účetních informací, akruální princip).</w:t>
      </w:r>
    </w:p>
    <w:p w14:paraId="31E59428" w14:textId="77777777" w:rsidR="000F7B8B" w:rsidRPr="00747E4C" w:rsidRDefault="000F7B8B" w:rsidP="000F7B8B">
      <w:pPr>
        <w:pStyle w:val="slovanseznam"/>
        <w:numPr>
          <w:ilvl w:val="1"/>
          <w:numId w:val="8"/>
        </w:numPr>
        <w:tabs>
          <w:tab w:val="num" w:pos="720"/>
        </w:tabs>
        <w:spacing w:line="240" w:lineRule="auto"/>
        <w:rPr>
          <w:sz w:val="22"/>
          <w:szCs w:val="22"/>
        </w:rPr>
      </w:pPr>
      <w:r w:rsidRPr="00747E4C">
        <w:rPr>
          <w:sz w:val="22"/>
          <w:szCs w:val="22"/>
        </w:rPr>
        <w:t>Příjemce je povinen předat ve lhůtě stanovené poskytovatelem poskytovateli na jeho vyžádání účetní záznamy a další doklady vztahující se k projektu převedené do digitální podoby.</w:t>
      </w:r>
    </w:p>
    <w:p w14:paraId="4F719D45" w14:textId="77777777" w:rsidR="000F7B8B" w:rsidRPr="00747E4C" w:rsidRDefault="000F7B8B" w:rsidP="000F7B8B">
      <w:pPr>
        <w:pStyle w:val="slovanseznam"/>
        <w:numPr>
          <w:ilvl w:val="0"/>
          <w:numId w:val="8"/>
        </w:numPr>
        <w:spacing w:before="240" w:line="240" w:lineRule="auto"/>
        <w:ind w:left="357" w:hanging="357"/>
        <w:rPr>
          <w:b/>
          <w:bCs/>
          <w:sz w:val="22"/>
          <w:szCs w:val="22"/>
        </w:rPr>
      </w:pPr>
      <w:r w:rsidRPr="00747E4C">
        <w:rPr>
          <w:b/>
          <w:bCs/>
          <w:sz w:val="22"/>
          <w:szCs w:val="22"/>
        </w:rPr>
        <w:t xml:space="preserve">Zakázky </w:t>
      </w:r>
    </w:p>
    <w:p w14:paraId="54AB38A1" w14:textId="77777777" w:rsidR="000F7B8B" w:rsidRPr="00747E4C" w:rsidRDefault="000F7B8B" w:rsidP="000F7B8B">
      <w:pPr>
        <w:pStyle w:val="slovanseznam"/>
        <w:numPr>
          <w:ilvl w:val="1"/>
          <w:numId w:val="8"/>
        </w:numPr>
        <w:tabs>
          <w:tab w:val="num" w:pos="720"/>
        </w:tabs>
        <w:spacing w:line="240" w:lineRule="auto"/>
        <w:rPr>
          <w:sz w:val="22"/>
          <w:szCs w:val="22"/>
        </w:rPr>
      </w:pPr>
      <w:r w:rsidRPr="00747E4C">
        <w:rPr>
          <w:sz w:val="22"/>
          <w:szCs w:val="22"/>
        </w:rPr>
        <w:t>Při zadávání zakázek v rámci realizace projektu je příjemce povinen postupovat v souladu s pravidly NP AMIF.</w:t>
      </w:r>
    </w:p>
    <w:p w14:paraId="47A86D27" w14:textId="77777777" w:rsidR="000F7B8B" w:rsidRDefault="000F7B8B" w:rsidP="000F7B8B">
      <w:pPr>
        <w:pStyle w:val="slovanseznam"/>
        <w:numPr>
          <w:ilvl w:val="1"/>
          <w:numId w:val="8"/>
        </w:numPr>
        <w:tabs>
          <w:tab w:val="num" w:pos="720"/>
        </w:tabs>
        <w:spacing w:after="0" w:line="240" w:lineRule="auto"/>
        <w:rPr>
          <w:sz w:val="22"/>
          <w:szCs w:val="22"/>
        </w:rPr>
      </w:pPr>
      <w:r w:rsidRPr="00747E4C">
        <w:rPr>
          <w:sz w:val="22"/>
          <w:szCs w:val="22"/>
        </w:rPr>
        <w:t xml:space="preserve">Příjemce je povinen zavázat dodavatele předkládat k proplacení pouze faktury, které obsahují název a číslo projektu. V odůvodněných případech je příjemci umožněno, aby doklady označil názvem a číslem projektu sám před jejich uplatněním v žádosti o platbu. </w:t>
      </w:r>
    </w:p>
    <w:p w14:paraId="24E949B0" w14:textId="77777777" w:rsidR="000F7B8B" w:rsidRPr="00747E4C" w:rsidRDefault="000F7B8B" w:rsidP="000F7B8B">
      <w:pPr>
        <w:pStyle w:val="slovanseznam"/>
        <w:numPr>
          <w:ilvl w:val="0"/>
          <w:numId w:val="8"/>
        </w:numPr>
        <w:spacing w:before="240" w:line="240" w:lineRule="auto"/>
        <w:ind w:left="357" w:hanging="357"/>
        <w:rPr>
          <w:b/>
          <w:bCs/>
          <w:sz w:val="22"/>
          <w:szCs w:val="22"/>
        </w:rPr>
      </w:pPr>
      <w:r w:rsidRPr="00747E4C">
        <w:rPr>
          <w:b/>
          <w:bCs/>
          <w:sz w:val="22"/>
          <w:szCs w:val="22"/>
        </w:rPr>
        <w:lastRenderedPageBreak/>
        <w:t xml:space="preserve">Kontrola </w:t>
      </w:r>
    </w:p>
    <w:p w14:paraId="24BC9FD5" w14:textId="25F6BCEF" w:rsidR="000F7B8B" w:rsidRPr="00747E4C" w:rsidRDefault="000F7B8B" w:rsidP="000F7B8B">
      <w:pPr>
        <w:pStyle w:val="Zhlav"/>
        <w:tabs>
          <w:tab w:val="clear" w:pos="4536"/>
          <w:tab w:val="clear" w:pos="9072"/>
        </w:tabs>
        <w:spacing w:after="240"/>
        <w:rPr>
          <w:rFonts w:cs="Arial"/>
        </w:rPr>
      </w:pPr>
      <w:r w:rsidRPr="00747E4C">
        <w:rPr>
          <w:rFonts w:cs="Arial"/>
        </w:rPr>
        <w:t xml:space="preserve">Příjemce dotace je povinen za účelem ověření plnění povinností vyplývajících z tohoto Rozhodnutí vytvořit podmínky k provedení kontroly vztahující se k realizaci projektu, poskytnout oprávněným osobám veškeré doklady vážící se k realizaci projektu, umožnit průběžné ověřování souladu údajů </w:t>
      </w:r>
      <w:r w:rsidR="00856D74" w:rsidRPr="00747E4C">
        <w:rPr>
          <w:rFonts w:cs="Arial"/>
        </w:rPr>
        <w:t>o</w:t>
      </w:r>
      <w:r w:rsidR="00856D74">
        <w:rPr>
          <w:rFonts w:cs="Arial"/>
        </w:rPr>
        <w:t> </w:t>
      </w:r>
      <w:r w:rsidRPr="00747E4C">
        <w:rPr>
          <w:rFonts w:cs="Arial"/>
        </w:rPr>
        <w:t xml:space="preserve">realizaci projektu uváděných v monitorovacích zprávách o realizaci projektu se skutečným stavem </w:t>
      </w:r>
      <w:r w:rsidR="00856D74" w:rsidRPr="00747E4C">
        <w:rPr>
          <w:rFonts w:cs="Arial"/>
        </w:rPr>
        <w:t>v</w:t>
      </w:r>
      <w:r w:rsidR="00856D74">
        <w:rPr>
          <w:rFonts w:cs="Arial"/>
        </w:rPr>
        <w:t> </w:t>
      </w:r>
      <w:r w:rsidRPr="00747E4C">
        <w:rPr>
          <w:rFonts w:cs="Arial"/>
        </w:rPr>
        <w:t>místě jeho realizace a poskytnout součinnost všem osobám oprávněným k provádění kontroly. Těmito oprávněnými osobami jsou poskytovatel dotace (Odpovědný orgán), územní finanční orgány, Ministerstvo financí</w:t>
      </w:r>
      <w:r w:rsidR="00856D74">
        <w:rPr>
          <w:rFonts w:cs="Arial"/>
        </w:rPr>
        <w:t xml:space="preserve"> České republiky</w:t>
      </w:r>
      <w:r w:rsidRPr="00747E4C">
        <w:rPr>
          <w:rFonts w:cs="Arial"/>
        </w:rPr>
        <w:t>, Nejvyšší kontrolní úřad, Evropská komise a Evropský účetní dvůr, případně další orgány oprávněné k výkonu kontroly.</w:t>
      </w:r>
    </w:p>
    <w:p w14:paraId="734C7F60" w14:textId="77777777" w:rsidR="000F7B8B" w:rsidRPr="00747E4C" w:rsidRDefault="000F7B8B" w:rsidP="000F7B8B">
      <w:pPr>
        <w:pStyle w:val="slovanseznam"/>
        <w:numPr>
          <w:ilvl w:val="0"/>
          <w:numId w:val="8"/>
        </w:numPr>
        <w:spacing w:before="240" w:line="240" w:lineRule="auto"/>
        <w:ind w:left="357" w:hanging="357"/>
        <w:rPr>
          <w:b/>
          <w:bCs/>
          <w:sz w:val="22"/>
          <w:szCs w:val="22"/>
        </w:rPr>
      </w:pPr>
      <w:r w:rsidRPr="00747E4C">
        <w:rPr>
          <w:b/>
          <w:bCs/>
          <w:sz w:val="22"/>
          <w:szCs w:val="22"/>
        </w:rPr>
        <w:t>Informační a komunikační opatření</w:t>
      </w:r>
    </w:p>
    <w:p w14:paraId="58BF6D46" w14:textId="77777777" w:rsidR="000F7B8B" w:rsidRPr="00747E4C" w:rsidRDefault="000F7B8B" w:rsidP="000F7B8B">
      <w:pPr>
        <w:pStyle w:val="slovanseznam"/>
        <w:numPr>
          <w:ilvl w:val="1"/>
          <w:numId w:val="8"/>
        </w:numPr>
        <w:tabs>
          <w:tab w:val="num" w:pos="720"/>
        </w:tabs>
        <w:spacing w:after="0" w:line="240" w:lineRule="auto"/>
        <w:rPr>
          <w:sz w:val="22"/>
          <w:szCs w:val="22"/>
        </w:rPr>
      </w:pPr>
      <w:r w:rsidRPr="00747E4C">
        <w:rPr>
          <w:sz w:val="22"/>
          <w:szCs w:val="22"/>
        </w:rPr>
        <w:t>Příjemce dotace je povinen provádět informační a komunikační opatření projektu v souladu s pravidly NP AMIF.</w:t>
      </w:r>
    </w:p>
    <w:p w14:paraId="42D009BF" w14:textId="77777777" w:rsidR="000F7B8B" w:rsidRPr="00747E4C" w:rsidRDefault="000F7B8B" w:rsidP="000F7B8B">
      <w:pPr>
        <w:pStyle w:val="slovanseznam"/>
        <w:numPr>
          <w:ilvl w:val="1"/>
          <w:numId w:val="8"/>
        </w:numPr>
        <w:tabs>
          <w:tab w:val="num" w:pos="720"/>
        </w:tabs>
        <w:spacing w:after="0" w:line="240" w:lineRule="auto"/>
        <w:rPr>
          <w:sz w:val="22"/>
          <w:szCs w:val="22"/>
        </w:rPr>
      </w:pPr>
      <w:r w:rsidRPr="00747E4C">
        <w:rPr>
          <w:sz w:val="22"/>
          <w:szCs w:val="22"/>
        </w:rPr>
        <w:t>Příjemce dotace je povinen zajistit nápravu nedostatku týkající se provádění informačních a komunikačních opatření projektu ve lhůtě a způsobem specifikovaným ve výzvě k provedení této nápravy, kterou příjemci adresuje poskytovatel.</w:t>
      </w:r>
    </w:p>
    <w:p w14:paraId="4212ACC5" w14:textId="77777777" w:rsidR="000F7B8B" w:rsidRPr="00747E4C" w:rsidRDefault="000F7B8B" w:rsidP="000F7B8B">
      <w:pPr>
        <w:pStyle w:val="slovanseznam"/>
        <w:numPr>
          <w:ilvl w:val="0"/>
          <w:numId w:val="8"/>
        </w:numPr>
        <w:spacing w:before="240" w:line="240" w:lineRule="auto"/>
        <w:ind w:left="357" w:hanging="357"/>
        <w:rPr>
          <w:b/>
          <w:bCs/>
          <w:sz w:val="22"/>
          <w:szCs w:val="22"/>
        </w:rPr>
      </w:pPr>
      <w:r w:rsidRPr="00747E4C">
        <w:rPr>
          <w:b/>
          <w:bCs/>
          <w:sz w:val="22"/>
          <w:szCs w:val="22"/>
        </w:rPr>
        <w:t xml:space="preserve">Poskytování údajů o realizaci projektu </w:t>
      </w:r>
    </w:p>
    <w:p w14:paraId="617AC6E0" w14:textId="26782585" w:rsidR="000F7B8B" w:rsidRPr="00747E4C" w:rsidRDefault="000F7B8B" w:rsidP="000F7B8B">
      <w:pPr>
        <w:pStyle w:val="Zhlav"/>
        <w:tabs>
          <w:tab w:val="clear" w:pos="4536"/>
          <w:tab w:val="clear" w:pos="9072"/>
        </w:tabs>
        <w:spacing w:after="240"/>
        <w:rPr>
          <w:rFonts w:cs="Arial"/>
        </w:rPr>
      </w:pPr>
      <w:r w:rsidRPr="00747E4C">
        <w:rPr>
          <w:rFonts w:cs="Arial"/>
        </w:rPr>
        <w:t>Příjemce dotace je povinen na základě žádosti poskytovatele nebo Ministerstva financí poskytnout těmto subjektům písemně jakékoliv doplňující informace související s realizací projektu (zejména má v této souvislosti povinnost poskytnout veškeré informace o výsledcích kontrol a auditů, včetně kontrolních protokolů z kontrol provedených v souvislosti s projektem), a to ve lhůtě stanovené poskytovatelem</w:t>
      </w:r>
      <w:r w:rsidR="003C3B2D">
        <w:rPr>
          <w:rFonts w:cs="Arial"/>
        </w:rPr>
        <w:t xml:space="preserve">, resp. </w:t>
      </w:r>
      <w:r w:rsidR="00B17BED">
        <w:rPr>
          <w:rFonts w:cs="Arial"/>
        </w:rPr>
        <w:t>Ministerstvem financí</w:t>
      </w:r>
      <w:r w:rsidRPr="00747E4C">
        <w:rPr>
          <w:rFonts w:cs="Arial"/>
        </w:rPr>
        <w:t>.</w:t>
      </w:r>
    </w:p>
    <w:p w14:paraId="3E2C59E4" w14:textId="77777777" w:rsidR="000F7B8B" w:rsidRPr="00747E4C" w:rsidRDefault="000F7B8B" w:rsidP="000F7B8B">
      <w:pPr>
        <w:pStyle w:val="slovanseznam"/>
        <w:numPr>
          <w:ilvl w:val="0"/>
          <w:numId w:val="8"/>
        </w:numPr>
        <w:spacing w:before="240" w:line="240" w:lineRule="auto"/>
        <w:ind w:left="357" w:hanging="357"/>
        <w:rPr>
          <w:b/>
          <w:bCs/>
          <w:sz w:val="22"/>
          <w:szCs w:val="22"/>
        </w:rPr>
      </w:pPr>
      <w:r w:rsidRPr="00747E4C">
        <w:rPr>
          <w:b/>
          <w:bCs/>
          <w:sz w:val="22"/>
          <w:szCs w:val="22"/>
        </w:rPr>
        <w:t>Oznamovací povinnost</w:t>
      </w:r>
    </w:p>
    <w:p w14:paraId="4681437D" w14:textId="34C72230" w:rsidR="000F7B8B" w:rsidRPr="00747E4C" w:rsidRDefault="00ED3D20" w:rsidP="000F7B8B">
      <w:pPr>
        <w:pStyle w:val="slovanseznam"/>
        <w:numPr>
          <w:ilvl w:val="1"/>
          <w:numId w:val="8"/>
        </w:numPr>
        <w:tabs>
          <w:tab w:val="num" w:pos="720"/>
        </w:tabs>
        <w:spacing w:after="0" w:line="240" w:lineRule="auto"/>
        <w:rPr>
          <w:sz w:val="22"/>
          <w:szCs w:val="22"/>
        </w:rPr>
      </w:pPr>
      <w:r w:rsidRPr="00B46380">
        <w:rPr>
          <w:sz w:val="22"/>
          <w:szCs w:val="22"/>
        </w:rPr>
        <w:t xml:space="preserve">Příjemce je povinen Poskytovatele dotace informovat o zahájeném insolvenčním řízení, a to do 5 dnů od uveřejnění vyhlášky o insolvenčním návrhu na portálu </w:t>
      </w:r>
      <w:hyperlink r:id="rId9" w:history="1">
        <w:r w:rsidR="00B17BED" w:rsidRPr="00BE41ED">
          <w:rPr>
            <w:rStyle w:val="Hypertextovodkaz"/>
            <w:sz w:val="22"/>
            <w:szCs w:val="22"/>
          </w:rPr>
          <w:t>https://isir.justice.cz</w:t>
        </w:r>
      </w:hyperlink>
      <w:r w:rsidRPr="00B46380">
        <w:rPr>
          <w:sz w:val="22"/>
          <w:szCs w:val="22"/>
        </w:rPr>
        <w:t>. Příjemce je dále povinen informovat Poskytovatele dotace</w:t>
      </w:r>
      <w:r w:rsidRPr="00B753E9">
        <w:t xml:space="preserve"> </w:t>
      </w:r>
      <w:r w:rsidRPr="00B46380">
        <w:rPr>
          <w:sz w:val="22"/>
          <w:szCs w:val="22"/>
        </w:rPr>
        <w:t xml:space="preserve">o vstupu Příjemce do likvidace, a to do 5 dnů od uveřejnění výzvy likvidátora k přihlášení pohledávek uveřejněné na portálu </w:t>
      </w:r>
      <w:hyperlink r:id="rId10" w:history="1">
        <w:r w:rsidR="00B17BED" w:rsidRPr="00BE41ED">
          <w:rPr>
            <w:rStyle w:val="Hypertextovodkaz"/>
            <w:sz w:val="22"/>
            <w:szCs w:val="22"/>
          </w:rPr>
          <w:t>http://ov.gov.cz</w:t>
        </w:r>
      </w:hyperlink>
      <w:r w:rsidRPr="00B46380">
        <w:rPr>
          <w:sz w:val="22"/>
          <w:szCs w:val="22"/>
        </w:rPr>
        <w:t>.</w:t>
      </w:r>
    </w:p>
    <w:p w14:paraId="6806ED12" w14:textId="77777777" w:rsidR="000F7B8B" w:rsidRPr="00747E4C" w:rsidRDefault="000F7B8B" w:rsidP="000F7B8B">
      <w:pPr>
        <w:pStyle w:val="slovanseznam"/>
        <w:numPr>
          <w:ilvl w:val="1"/>
          <w:numId w:val="8"/>
        </w:numPr>
        <w:tabs>
          <w:tab w:val="num" w:pos="720"/>
        </w:tabs>
        <w:spacing w:after="0" w:line="240" w:lineRule="auto"/>
        <w:rPr>
          <w:sz w:val="22"/>
          <w:szCs w:val="22"/>
        </w:rPr>
      </w:pPr>
      <w:r w:rsidRPr="00747E4C">
        <w:rPr>
          <w:sz w:val="22"/>
          <w:szCs w:val="22"/>
        </w:rPr>
        <w:t>Příjemce je povinen dodržet pravidla NP AMIF upravující oznamování změn týkajících se projektu.</w:t>
      </w:r>
    </w:p>
    <w:p w14:paraId="6CC1C37F" w14:textId="77777777" w:rsidR="000F7B8B" w:rsidRPr="00747E4C" w:rsidRDefault="000F7B8B" w:rsidP="000F7B8B">
      <w:pPr>
        <w:pStyle w:val="slovanseznam"/>
        <w:numPr>
          <w:ilvl w:val="0"/>
          <w:numId w:val="8"/>
        </w:numPr>
        <w:spacing w:before="240" w:line="240" w:lineRule="auto"/>
        <w:ind w:left="357" w:hanging="357"/>
        <w:rPr>
          <w:b/>
          <w:bCs/>
          <w:sz w:val="22"/>
          <w:szCs w:val="22"/>
        </w:rPr>
      </w:pPr>
      <w:r w:rsidRPr="00747E4C">
        <w:rPr>
          <w:b/>
          <w:bCs/>
          <w:sz w:val="22"/>
          <w:szCs w:val="22"/>
        </w:rPr>
        <w:t>Zákaz čerpání jiných podpor</w:t>
      </w:r>
    </w:p>
    <w:p w14:paraId="6075D7EB" w14:textId="1195897A" w:rsidR="000F7B8B" w:rsidRDefault="00B17BED" w:rsidP="000F7B8B">
      <w:pPr>
        <w:pStyle w:val="Zhlav"/>
        <w:tabs>
          <w:tab w:val="clear" w:pos="4536"/>
          <w:tab w:val="clear" w:pos="9072"/>
        </w:tabs>
        <w:spacing w:after="240"/>
        <w:rPr>
          <w:rFonts w:cs="Arial"/>
        </w:rPr>
      </w:pPr>
      <w:r w:rsidRPr="00E4271A">
        <w:rPr>
          <w:rFonts w:cs="Arial"/>
        </w:rPr>
        <w:t>Příjemce nesmí na výdaje projektu uhrazené z prostředků této dotace čerpat prostředky z jiných finančních nástrojů Evropské unie či z jiných veřejných prostředků. Pokud byl určitý výdaj uhrazen z dotace pouze z části, týká se zákaz podle předchozí věty pouze této části výdaje.</w:t>
      </w:r>
    </w:p>
    <w:p w14:paraId="23E94B15" w14:textId="77777777" w:rsidR="000F7B8B" w:rsidRPr="00747E4C" w:rsidRDefault="000F7B8B" w:rsidP="000F7B8B">
      <w:pPr>
        <w:pStyle w:val="slovanseznam"/>
        <w:numPr>
          <w:ilvl w:val="0"/>
          <w:numId w:val="8"/>
        </w:numPr>
        <w:spacing w:before="240" w:line="240" w:lineRule="auto"/>
        <w:ind w:left="357" w:hanging="357"/>
        <w:rPr>
          <w:b/>
          <w:bCs/>
          <w:sz w:val="22"/>
          <w:szCs w:val="22"/>
        </w:rPr>
      </w:pPr>
      <w:r w:rsidRPr="00747E4C">
        <w:rPr>
          <w:b/>
          <w:bCs/>
          <w:sz w:val="22"/>
          <w:szCs w:val="22"/>
        </w:rPr>
        <w:t>Vypořádání projektu</w:t>
      </w:r>
    </w:p>
    <w:p w14:paraId="47F23002" w14:textId="01AE12C8" w:rsidR="000F7B8B" w:rsidRPr="00747E4C" w:rsidRDefault="00355086" w:rsidP="000F7B8B">
      <w:pPr>
        <w:pStyle w:val="Zhlav"/>
        <w:tabs>
          <w:tab w:val="clear" w:pos="4536"/>
          <w:tab w:val="clear" w:pos="9072"/>
        </w:tabs>
        <w:spacing w:after="240"/>
        <w:rPr>
          <w:rFonts w:cs="Arial"/>
        </w:rPr>
      </w:pPr>
      <w:r w:rsidRPr="00E4271A">
        <w:rPr>
          <w:rFonts w:cs="Arial"/>
        </w:rPr>
        <w:t>Příjemce, jehož projekt je financován zálohově (v tzv. režimu ex ante), je povinen dotaci finančně vypořádat v souladu s rozpočtovými pravidly a aktuálně platnou vyhláškou upravující zásady a lhůty finančního vypořádání vztahů se státním rozpočtem.</w:t>
      </w:r>
    </w:p>
    <w:p w14:paraId="31288C3A" w14:textId="77777777" w:rsidR="000F7B8B" w:rsidRPr="00747E4C" w:rsidRDefault="000F7B8B" w:rsidP="000F7B8B">
      <w:pPr>
        <w:pStyle w:val="slovanseznam"/>
        <w:numPr>
          <w:ilvl w:val="0"/>
          <w:numId w:val="8"/>
        </w:numPr>
        <w:spacing w:before="240" w:line="240" w:lineRule="auto"/>
        <w:ind w:left="357" w:hanging="357"/>
        <w:rPr>
          <w:b/>
          <w:bCs/>
          <w:sz w:val="22"/>
          <w:szCs w:val="22"/>
        </w:rPr>
      </w:pPr>
      <w:r w:rsidRPr="00747E4C">
        <w:rPr>
          <w:b/>
          <w:bCs/>
          <w:sz w:val="22"/>
          <w:szCs w:val="22"/>
        </w:rPr>
        <w:t>Uchovávání dokumentů</w:t>
      </w:r>
    </w:p>
    <w:p w14:paraId="7B985C31" w14:textId="0E13219B" w:rsidR="000F7B8B" w:rsidRPr="00747E4C" w:rsidRDefault="000F7B8B" w:rsidP="000F7B8B">
      <w:pPr>
        <w:pStyle w:val="Zhlav"/>
        <w:tabs>
          <w:tab w:val="clear" w:pos="4536"/>
          <w:tab w:val="clear" w:pos="9072"/>
        </w:tabs>
        <w:spacing w:after="240"/>
        <w:rPr>
          <w:rFonts w:cs="Arial"/>
        </w:rPr>
      </w:pPr>
      <w:r w:rsidRPr="00747E4C">
        <w:rPr>
          <w:rFonts w:cs="Arial"/>
        </w:rPr>
        <w:lastRenderedPageBreak/>
        <w:t>Příjemce dotace je povinen uchovat veškeré dokumenty související s realizací projektu v souladu s</w:t>
      </w:r>
      <w:r w:rsidR="00715AC9">
        <w:rPr>
          <w:rFonts w:cs="Arial"/>
        </w:rPr>
        <w:t> </w:t>
      </w:r>
      <w:r w:rsidRPr="00747E4C">
        <w:rPr>
          <w:rFonts w:cs="Arial"/>
        </w:rPr>
        <w:t>platnými právními předpisy ČR, zejména v souladu s § 44a odst. 11 rozpočtových pravidel</w:t>
      </w:r>
      <w:r w:rsidRPr="00747E4C">
        <w:rPr>
          <w:rFonts w:cs="Arial"/>
          <w:vertAlign w:val="superscript"/>
        </w:rPr>
        <w:footnoteReference w:id="4"/>
      </w:r>
      <w:r w:rsidRPr="00747E4C">
        <w:rPr>
          <w:rFonts w:cs="Arial"/>
        </w:rPr>
        <w:t xml:space="preserve"> a pravidly NP AMIF.</w:t>
      </w:r>
    </w:p>
    <w:p w14:paraId="1F15BCD0" w14:textId="77777777" w:rsidR="000F7B8B" w:rsidRPr="00747E4C" w:rsidRDefault="000F7B8B" w:rsidP="000F7B8B">
      <w:pPr>
        <w:pStyle w:val="slovanseznam"/>
        <w:numPr>
          <w:ilvl w:val="0"/>
          <w:numId w:val="8"/>
        </w:numPr>
        <w:spacing w:before="240" w:line="240" w:lineRule="auto"/>
        <w:ind w:left="357" w:hanging="357"/>
        <w:rPr>
          <w:b/>
          <w:bCs/>
          <w:sz w:val="22"/>
          <w:szCs w:val="22"/>
        </w:rPr>
      </w:pPr>
      <w:r w:rsidRPr="00747E4C">
        <w:rPr>
          <w:b/>
          <w:bCs/>
          <w:sz w:val="22"/>
          <w:szCs w:val="22"/>
        </w:rPr>
        <w:t xml:space="preserve">Péče o majetek </w:t>
      </w:r>
    </w:p>
    <w:p w14:paraId="1FF93887" w14:textId="77777777" w:rsidR="000F7B8B" w:rsidRPr="00747E4C" w:rsidRDefault="000F7B8B" w:rsidP="000F7B8B">
      <w:pPr>
        <w:pStyle w:val="slovanseznam"/>
        <w:spacing w:after="240"/>
        <w:rPr>
          <w:iCs/>
          <w:sz w:val="22"/>
          <w:szCs w:val="22"/>
        </w:rPr>
      </w:pPr>
      <w:r w:rsidRPr="00747E4C">
        <w:rPr>
          <w:iCs/>
          <w:sz w:val="22"/>
          <w:szCs w:val="22"/>
        </w:rPr>
        <w:t>Příjemce dotace je povinen po dobu realizace projektu zacházet s majetkem spolufinancovaným z dotace s péčí řádného hospodáře, zejména jej zabezpečit proti poškození, ztrátě nebo odcizení a nezatěžovat takový majetek žádnými věcnými právy třetích osob, včetně zástavního práva. Povinnost podle předchozí věty se netýká spotřebního materiálu</w:t>
      </w:r>
      <w:r w:rsidRPr="00747E4C">
        <w:rPr>
          <w:sz w:val="22"/>
          <w:szCs w:val="22"/>
        </w:rPr>
        <w:t>.</w:t>
      </w:r>
    </w:p>
    <w:p w14:paraId="36FA5907" w14:textId="77777777" w:rsidR="000F7B8B" w:rsidRPr="00747E4C" w:rsidRDefault="000F7B8B" w:rsidP="000F7B8B">
      <w:pPr>
        <w:pStyle w:val="slovanseznam"/>
        <w:numPr>
          <w:ilvl w:val="0"/>
          <w:numId w:val="8"/>
        </w:numPr>
        <w:spacing w:before="240" w:line="240" w:lineRule="auto"/>
        <w:ind w:left="357" w:hanging="357"/>
        <w:rPr>
          <w:b/>
          <w:bCs/>
          <w:sz w:val="22"/>
          <w:szCs w:val="22"/>
        </w:rPr>
      </w:pPr>
      <w:r w:rsidRPr="00747E4C">
        <w:rPr>
          <w:b/>
          <w:bCs/>
          <w:sz w:val="22"/>
          <w:szCs w:val="22"/>
        </w:rPr>
        <w:t>Práva duševního vlastnictví</w:t>
      </w:r>
    </w:p>
    <w:p w14:paraId="3D362E0C" w14:textId="77777777" w:rsidR="000F7B8B" w:rsidRPr="00747E4C" w:rsidRDefault="000F7B8B" w:rsidP="000F7B8B">
      <w:pPr>
        <w:pStyle w:val="slovanseznam"/>
        <w:spacing w:after="240"/>
        <w:rPr>
          <w:b/>
          <w:sz w:val="22"/>
          <w:szCs w:val="22"/>
        </w:rPr>
      </w:pPr>
      <w:r w:rsidRPr="00747E4C">
        <w:rPr>
          <w:iCs/>
          <w:sz w:val="22"/>
          <w:szCs w:val="22"/>
        </w:rPr>
        <w:t xml:space="preserve">Příjemce dotace je povinen poskytovateli poskytnout neomezenou bezplatnou licenci k užití práv duševního vlastnictví včetně možnosti zcela nebo zčásti poskytnout třetí osobě oprávnění tvořící součást licence, jestliže byly při vzniku práv duševního vlastnictví použity prostředky této dotace, a to bez zbytečného odkladu po vzniku takových práv. Pokud je držitelem takových práv duševního vlastnictví vzniklých na základě zakázky jiná osoba než příjemce dotace, je příjemce dotace povinen ve smlouvě uzavřené s dodavatelem zajistit pro poskytovatele neomezenou bezplatnou licenci k užití těchto práv včetně možnosti zcela nebo zčásti poskytnout třetí osobě oprávnění tvořící součást licence. </w:t>
      </w:r>
    </w:p>
    <w:p w14:paraId="6291474B" w14:textId="77777777" w:rsidR="000F7B8B" w:rsidRPr="008202EC" w:rsidRDefault="000F7B8B" w:rsidP="000F7B8B">
      <w:pPr>
        <w:pStyle w:val="slovanseznam"/>
        <w:numPr>
          <w:ilvl w:val="0"/>
          <w:numId w:val="8"/>
        </w:numPr>
        <w:spacing w:before="240" w:line="240" w:lineRule="auto"/>
        <w:ind w:left="357" w:hanging="357"/>
        <w:rPr>
          <w:b/>
          <w:bCs/>
          <w:sz w:val="22"/>
          <w:szCs w:val="22"/>
          <w:highlight w:val="yellow"/>
        </w:rPr>
      </w:pPr>
      <w:r w:rsidRPr="008202EC">
        <w:rPr>
          <w:b/>
          <w:bCs/>
          <w:sz w:val="22"/>
          <w:szCs w:val="22"/>
          <w:highlight w:val="yellow"/>
        </w:rPr>
        <w:t>Partnerství</w:t>
      </w:r>
      <w:r w:rsidRPr="008202EC">
        <w:rPr>
          <w:bCs/>
          <w:sz w:val="22"/>
          <w:szCs w:val="22"/>
          <w:highlight w:val="yellow"/>
          <w:vertAlign w:val="superscript"/>
        </w:rPr>
        <w:footnoteReference w:id="5"/>
      </w:r>
    </w:p>
    <w:p w14:paraId="7A68E647" w14:textId="77777777" w:rsidR="000F7B8B" w:rsidRPr="008202EC" w:rsidRDefault="000F7B8B" w:rsidP="000F7B8B">
      <w:pPr>
        <w:pStyle w:val="slovanseznam"/>
        <w:numPr>
          <w:ilvl w:val="1"/>
          <w:numId w:val="8"/>
        </w:numPr>
        <w:tabs>
          <w:tab w:val="num" w:pos="720"/>
        </w:tabs>
        <w:spacing w:after="0" w:line="240" w:lineRule="auto"/>
        <w:rPr>
          <w:sz w:val="22"/>
          <w:szCs w:val="22"/>
          <w:highlight w:val="yellow"/>
        </w:rPr>
      </w:pPr>
      <w:r w:rsidRPr="008202EC">
        <w:rPr>
          <w:sz w:val="22"/>
          <w:szCs w:val="22"/>
          <w:highlight w:val="yellow"/>
        </w:rPr>
        <w:t>Příjemce dotace je povinen zajistit, aby vztahy mezi příjemcem a jeho partnery, jejichž seznam je součástí Žádosti o podporu v Příloze č. 1 tohoto Rozhodnutí, po celou dobu realizace projektu odpovídaly pravidlům NP AMIF.</w:t>
      </w:r>
    </w:p>
    <w:p w14:paraId="2557306C" w14:textId="77777777" w:rsidR="000F7B8B" w:rsidRPr="008202EC" w:rsidRDefault="000F7B8B" w:rsidP="000F7B8B">
      <w:pPr>
        <w:pStyle w:val="slovanseznam"/>
        <w:numPr>
          <w:ilvl w:val="1"/>
          <w:numId w:val="8"/>
        </w:numPr>
        <w:tabs>
          <w:tab w:val="num" w:pos="720"/>
        </w:tabs>
        <w:spacing w:after="0" w:line="240" w:lineRule="auto"/>
        <w:rPr>
          <w:sz w:val="22"/>
          <w:szCs w:val="22"/>
          <w:highlight w:val="yellow"/>
        </w:rPr>
      </w:pPr>
      <w:r w:rsidRPr="008202EC">
        <w:rPr>
          <w:sz w:val="22"/>
          <w:szCs w:val="22"/>
          <w:highlight w:val="yellow"/>
        </w:rPr>
        <w:t>Příjemce dotace odpovídá za splnění všech povinností. Pokud některý z partnerů poruší některou z povinností, odpovídá příjemce dotace podle části IV tohoto Rozhodnutí, jakoby tuto povinnost porušil sám.</w:t>
      </w:r>
    </w:p>
    <w:p w14:paraId="1CE9782D" w14:textId="77777777" w:rsidR="000F7B8B" w:rsidRPr="008202EC" w:rsidRDefault="000F7B8B" w:rsidP="000F7B8B">
      <w:pPr>
        <w:pStyle w:val="slovanseznam"/>
        <w:numPr>
          <w:ilvl w:val="1"/>
          <w:numId w:val="8"/>
        </w:numPr>
        <w:tabs>
          <w:tab w:val="num" w:pos="720"/>
        </w:tabs>
        <w:spacing w:after="0" w:line="240" w:lineRule="auto"/>
        <w:rPr>
          <w:sz w:val="22"/>
          <w:szCs w:val="22"/>
          <w:highlight w:val="yellow"/>
        </w:rPr>
      </w:pPr>
      <w:r w:rsidRPr="008202EC">
        <w:rPr>
          <w:sz w:val="22"/>
          <w:szCs w:val="22"/>
          <w:highlight w:val="yellow"/>
        </w:rPr>
        <w:t xml:space="preserve">Příjemce dotace není oprávněn se svými partnery uzavírat v rámci tohoto projektu smluvní vztahy, jejichž předmětem je poskytování služeb, zboží nebo stavebních prací za úplatu. </w:t>
      </w:r>
    </w:p>
    <w:p w14:paraId="43B42120" w14:textId="77777777" w:rsidR="000F7B8B" w:rsidRPr="00747E4C" w:rsidRDefault="000F7B8B" w:rsidP="000F7B8B">
      <w:pPr>
        <w:tabs>
          <w:tab w:val="left" w:pos="4050"/>
          <w:tab w:val="center" w:pos="4535"/>
        </w:tabs>
        <w:spacing w:before="240"/>
        <w:jc w:val="left"/>
        <w:rPr>
          <w:rFonts w:cs="Arial"/>
          <w:b/>
        </w:rPr>
      </w:pPr>
      <w:r w:rsidRPr="00747E4C">
        <w:rPr>
          <w:rFonts w:cs="Arial"/>
          <w:b/>
        </w:rPr>
        <w:tab/>
      </w:r>
      <w:r w:rsidRPr="00747E4C">
        <w:rPr>
          <w:rFonts w:cs="Arial"/>
          <w:b/>
        </w:rPr>
        <w:tab/>
        <w:t>Část III</w:t>
      </w:r>
    </w:p>
    <w:p w14:paraId="7067AD1A" w14:textId="77777777" w:rsidR="000F7B8B" w:rsidRPr="00747E4C" w:rsidRDefault="000F7B8B" w:rsidP="000F7B8B">
      <w:pPr>
        <w:jc w:val="center"/>
        <w:rPr>
          <w:rFonts w:cs="Arial"/>
          <w:b/>
        </w:rPr>
      </w:pPr>
      <w:r w:rsidRPr="00747E4C">
        <w:rPr>
          <w:rFonts w:cs="Arial"/>
          <w:b/>
        </w:rPr>
        <w:t>Specifické povinnosti příjemce dotace týkající se realizace projektu</w:t>
      </w:r>
    </w:p>
    <w:p w14:paraId="5468AE8A" w14:textId="77777777" w:rsidR="000F7B8B" w:rsidRPr="00747E4C" w:rsidRDefault="000F7B8B" w:rsidP="000F7B8B">
      <w:pPr>
        <w:pStyle w:val="slovanseznam"/>
        <w:numPr>
          <w:ilvl w:val="0"/>
          <w:numId w:val="9"/>
        </w:numPr>
        <w:spacing w:before="240" w:line="240" w:lineRule="auto"/>
        <w:rPr>
          <w:b/>
          <w:bCs/>
          <w:sz w:val="22"/>
          <w:szCs w:val="22"/>
        </w:rPr>
      </w:pPr>
      <w:r w:rsidRPr="00747E4C">
        <w:rPr>
          <w:b/>
          <w:bCs/>
          <w:sz w:val="22"/>
          <w:szCs w:val="22"/>
        </w:rPr>
        <w:t>Vazba na výzvu k předkládání žádostí o podporu</w:t>
      </w:r>
    </w:p>
    <w:p w14:paraId="4EFCB3C8" w14:textId="77777777" w:rsidR="00856D74" w:rsidRDefault="000F7B8B" w:rsidP="000F7B8B">
      <w:pPr>
        <w:pStyle w:val="slovanseznam"/>
        <w:tabs>
          <w:tab w:val="num" w:pos="720"/>
        </w:tabs>
        <w:spacing w:after="60"/>
        <w:rPr>
          <w:sz w:val="22"/>
          <w:szCs w:val="22"/>
        </w:rPr>
      </w:pPr>
      <w:r w:rsidRPr="00747E4C">
        <w:rPr>
          <w:sz w:val="22"/>
          <w:szCs w:val="22"/>
        </w:rPr>
        <w:t>Příjemce je povinen během realizace projektu respektovat tyto podmínky, jež vycházejí z výzvy k předkládání žádostí o podporu, na základě které byl projekt vybrán k poskytnutí dotace</w:t>
      </w:r>
      <w:r w:rsidR="00856D74">
        <w:rPr>
          <w:sz w:val="22"/>
          <w:szCs w:val="22"/>
        </w:rPr>
        <w:t>.</w:t>
      </w:r>
    </w:p>
    <w:p w14:paraId="12B42E54" w14:textId="77777777" w:rsidR="005C320F" w:rsidRDefault="005C320F" w:rsidP="005C320F">
      <w:pPr>
        <w:pStyle w:val="slovanseznam"/>
        <w:tabs>
          <w:tab w:val="num" w:pos="720"/>
        </w:tabs>
        <w:spacing w:after="60"/>
        <w:rPr>
          <w:sz w:val="22"/>
          <w:szCs w:val="22"/>
        </w:rPr>
      </w:pPr>
      <w:r>
        <w:rPr>
          <w:sz w:val="22"/>
          <w:szCs w:val="22"/>
        </w:rPr>
        <w:t xml:space="preserve">Výzva je vyhlášena v režimu mixed-use. Je proto nezbytné respektovat všechna ustanovení s tím související, zejména vyplývající z části výzvy 3.5. </w:t>
      </w:r>
    </w:p>
    <w:p w14:paraId="25620816" w14:textId="6D6D3B47" w:rsidR="005C320F" w:rsidRDefault="005C320F" w:rsidP="005C320F">
      <w:pPr>
        <w:pStyle w:val="slovanseznam"/>
        <w:tabs>
          <w:tab w:val="num" w:pos="720"/>
        </w:tabs>
        <w:spacing w:after="60"/>
        <w:rPr>
          <w:sz w:val="22"/>
          <w:szCs w:val="22"/>
        </w:rPr>
      </w:pPr>
      <w:r>
        <w:rPr>
          <w:sz w:val="22"/>
          <w:szCs w:val="22"/>
        </w:rPr>
        <w:lastRenderedPageBreak/>
        <w:t>V části 4.4 je stanoveno, že úč</w:t>
      </w:r>
      <w:r w:rsidRPr="00670DDA">
        <w:rPr>
          <w:sz w:val="22"/>
          <w:szCs w:val="22"/>
        </w:rPr>
        <w:t>elem dotace této výzvy je zajištění provozu centra dle § 155a zákona č. 326/1999 Sb., ve znění pozdějších předpisů. Tj. podmínkou pro realizaci projektu je uzavření Smlouvy</w:t>
      </w:r>
      <w:r>
        <w:rPr>
          <w:sz w:val="22"/>
          <w:szCs w:val="22"/>
        </w:rPr>
        <w:t xml:space="preserve"> uvedené v tomto § zákona.</w:t>
      </w:r>
      <w:r w:rsidRPr="00670DDA">
        <w:rPr>
          <w:sz w:val="22"/>
          <w:szCs w:val="22"/>
        </w:rPr>
        <w:t xml:space="preserve"> V okamžiku, kdy příjemce v průběhu realizace projektu pozbyde statutu provozovatele Centra na základě §155a zákona č. 326/1999 Sb., ve znění pozdějších předpisů, tj. dojde-li k vypovězení Smlouvy dle tohoto paragrafu, přestane příjemce splňovat účel poskytnutí dotace a bude zahájeno řízení o odnětí dotace dle §15 zákona č. 218/2000 Sb., o</w:t>
      </w:r>
      <w:r>
        <w:rPr>
          <w:sz w:val="22"/>
          <w:szCs w:val="22"/>
        </w:rPr>
        <w:t> </w:t>
      </w:r>
      <w:r w:rsidRPr="00670DDA">
        <w:rPr>
          <w:sz w:val="22"/>
          <w:szCs w:val="22"/>
        </w:rPr>
        <w:t>rozpočtových pravidlech a o změně některých souvisejících zákonů (rozpočtová pravidla), ve znění pozdějších předpisů. Výdaje uskutečněné za dobu, kdy příjemce statut provozovatele Centra měl, budou považovány za způsobilé v případě, že splní podmínky způsobilosti stanovené v Příručce pro žadatele a příjemce respektive právním aktu.</w:t>
      </w:r>
    </w:p>
    <w:p w14:paraId="2DF05AEB" w14:textId="77777777" w:rsidR="005C320F" w:rsidRDefault="005C320F" w:rsidP="005C320F">
      <w:pPr>
        <w:pStyle w:val="slovanseznam"/>
        <w:tabs>
          <w:tab w:val="num" w:pos="720"/>
        </w:tabs>
        <w:spacing w:after="60"/>
        <w:rPr>
          <w:sz w:val="22"/>
          <w:szCs w:val="22"/>
        </w:rPr>
      </w:pPr>
      <w:r>
        <w:rPr>
          <w:sz w:val="22"/>
          <w:szCs w:val="22"/>
        </w:rPr>
        <w:t>V části 4.5 stanovuje výzva vazbu na § 155b zákona č. 326/1999 Sb. a umožňuje hrazení části nákladů souvisejících s adaptačně integračními kurzy za podmínek stanovených v části 4.5 výzvy AMIF č. 28.</w:t>
      </w:r>
    </w:p>
    <w:p w14:paraId="76E5493F" w14:textId="0EFCEB77" w:rsidR="000F7B8B" w:rsidRPr="00747E4C" w:rsidRDefault="005C320F" w:rsidP="005C320F">
      <w:pPr>
        <w:pStyle w:val="slovanseznam"/>
        <w:tabs>
          <w:tab w:val="num" w:pos="720"/>
        </w:tabs>
        <w:spacing w:after="60"/>
        <w:rPr>
          <w:sz w:val="22"/>
          <w:szCs w:val="22"/>
        </w:rPr>
      </w:pPr>
      <w:r>
        <w:rPr>
          <w:sz w:val="22"/>
          <w:szCs w:val="22"/>
        </w:rPr>
        <w:t>Další parametry nastavené výzvou:</w:t>
      </w:r>
    </w:p>
    <w:p w14:paraId="5537DDE3" w14:textId="77777777" w:rsidR="000F7B8B" w:rsidRPr="00747E4C" w:rsidRDefault="000F7B8B" w:rsidP="000F7B8B">
      <w:pPr>
        <w:pStyle w:val="slovanseznam"/>
        <w:numPr>
          <w:ilvl w:val="0"/>
          <w:numId w:val="5"/>
        </w:numPr>
        <w:spacing w:after="60" w:line="240" w:lineRule="auto"/>
        <w:rPr>
          <w:sz w:val="22"/>
          <w:szCs w:val="22"/>
        </w:rPr>
      </w:pPr>
      <w:r w:rsidRPr="00747E4C">
        <w:rPr>
          <w:sz w:val="22"/>
          <w:szCs w:val="22"/>
        </w:rPr>
        <w:t>Cílovými skupinami projektu mohou být pouze:</w:t>
      </w:r>
    </w:p>
    <w:p w14:paraId="5B482BCC" w14:textId="77777777" w:rsidR="000F7B8B" w:rsidRPr="00747E4C" w:rsidRDefault="000F7B8B" w:rsidP="000F7B8B">
      <w:pPr>
        <w:pStyle w:val="slovanseznam"/>
        <w:spacing w:after="60"/>
        <w:ind w:left="927"/>
        <w:rPr>
          <w:sz w:val="22"/>
          <w:szCs w:val="22"/>
        </w:rPr>
      </w:pPr>
      <w:r w:rsidRPr="008202EC">
        <w:rPr>
          <w:sz w:val="22"/>
          <w:szCs w:val="22"/>
          <w:highlight w:val="yellow"/>
        </w:rPr>
        <w:t>…</w:t>
      </w:r>
    </w:p>
    <w:p w14:paraId="7AC5253F" w14:textId="77777777" w:rsidR="000F7B8B" w:rsidRPr="00747E4C" w:rsidRDefault="000F7B8B" w:rsidP="000F7B8B">
      <w:pPr>
        <w:pStyle w:val="slovanseznam"/>
        <w:numPr>
          <w:ilvl w:val="0"/>
          <w:numId w:val="5"/>
        </w:numPr>
        <w:spacing w:after="60" w:line="240" w:lineRule="auto"/>
        <w:rPr>
          <w:sz w:val="22"/>
          <w:szCs w:val="22"/>
        </w:rPr>
      </w:pPr>
      <w:r w:rsidRPr="00747E4C">
        <w:rPr>
          <w:sz w:val="22"/>
          <w:szCs w:val="22"/>
        </w:rPr>
        <w:t>Aktivity projektu musí spadat do vymezení:</w:t>
      </w:r>
    </w:p>
    <w:p w14:paraId="7832D08D" w14:textId="77777777" w:rsidR="000F7B8B" w:rsidRPr="00747E4C" w:rsidRDefault="000F7B8B" w:rsidP="000F7B8B">
      <w:pPr>
        <w:pStyle w:val="slovanseznam"/>
        <w:spacing w:after="60"/>
        <w:ind w:left="927"/>
        <w:rPr>
          <w:sz w:val="22"/>
          <w:szCs w:val="22"/>
        </w:rPr>
      </w:pPr>
      <w:r w:rsidRPr="008202EC">
        <w:rPr>
          <w:sz w:val="22"/>
          <w:szCs w:val="22"/>
          <w:highlight w:val="yellow"/>
        </w:rPr>
        <w:t>…</w:t>
      </w:r>
    </w:p>
    <w:p w14:paraId="5077BC5D" w14:textId="77777777" w:rsidR="000F7B8B" w:rsidRPr="00747E4C" w:rsidRDefault="000F7B8B" w:rsidP="000F7B8B">
      <w:pPr>
        <w:pStyle w:val="slovanseznam"/>
        <w:numPr>
          <w:ilvl w:val="0"/>
          <w:numId w:val="5"/>
        </w:numPr>
        <w:spacing w:after="60" w:line="240" w:lineRule="auto"/>
        <w:rPr>
          <w:sz w:val="22"/>
          <w:szCs w:val="22"/>
        </w:rPr>
      </w:pPr>
      <w:r w:rsidRPr="00747E4C">
        <w:rPr>
          <w:sz w:val="22"/>
          <w:szCs w:val="22"/>
        </w:rPr>
        <w:t>Územní vymezení:</w:t>
      </w:r>
    </w:p>
    <w:p w14:paraId="1C822177" w14:textId="77777777" w:rsidR="000F7B8B" w:rsidRPr="00747E4C" w:rsidRDefault="000F7B8B" w:rsidP="000F7B8B">
      <w:pPr>
        <w:pStyle w:val="slovanseznam"/>
        <w:spacing w:after="60"/>
        <w:ind w:left="927"/>
        <w:rPr>
          <w:sz w:val="22"/>
          <w:szCs w:val="22"/>
        </w:rPr>
      </w:pPr>
      <w:r w:rsidRPr="008202EC">
        <w:rPr>
          <w:sz w:val="22"/>
          <w:szCs w:val="22"/>
          <w:highlight w:val="yellow"/>
        </w:rPr>
        <w:t>…</w:t>
      </w:r>
    </w:p>
    <w:p w14:paraId="474A985D" w14:textId="77777777" w:rsidR="000F7B8B" w:rsidRPr="00747E4C" w:rsidRDefault="000F7B8B" w:rsidP="000F7B8B">
      <w:pPr>
        <w:pStyle w:val="slovanseznam"/>
        <w:numPr>
          <w:ilvl w:val="0"/>
          <w:numId w:val="9"/>
        </w:numPr>
        <w:spacing w:before="240" w:line="240" w:lineRule="auto"/>
        <w:ind w:left="357" w:hanging="357"/>
        <w:rPr>
          <w:b/>
          <w:bCs/>
          <w:sz w:val="22"/>
          <w:szCs w:val="22"/>
        </w:rPr>
      </w:pPr>
      <w:r w:rsidRPr="00747E4C">
        <w:rPr>
          <w:b/>
          <w:bCs/>
          <w:sz w:val="22"/>
          <w:szCs w:val="22"/>
        </w:rPr>
        <w:t xml:space="preserve">Podmínky monitorování projektu </w:t>
      </w:r>
    </w:p>
    <w:p w14:paraId="13C4023A" w14:textId="65129C5D" w:rsidR="000F7B8B" w:rsidRPr="00747E4C" w:rsidRDefault="000F7B8B" w:rsidP="000F7B8B">
      <w:pPr>
        <w:pStyle w:val="slovanseznam"/>
        <w:numPr>
          <w:ilvl w:val="1"/>
          <w:numId w:val="9"/>
        </w:numPr>
        <w:tabs>
          <w:tab w:val="num" w:pos="-4253"/>
        </w:tabs>
        <w:spacing w:after="0" w:line="240" w:lineRule="auto"/>
        <w:ind w:left="567" w:hanging="567"/>
        <w:rPr>
          <w:sz w:val="22"/>
          <w:szCs w:val="22"/>
        </w:rPr>
      </w:pPr>
      <w:r w:rsidRPr="00747E4C">
        <w:rPr>
          <w:sz w:val="22"/>
          <w:szCs w:val="22"/>
        </w:rPr>
        <w:t>Příjemce dotace je povinen naplnit cílov</w:t>
      </w:r>
      <w:r w:rsidR="00856D74">
        <w:rPr>
          <w:sz w:val="22"/>
          <w:szCs w:val="22"/>
        </w:rPr>
        <w:t>ou</w:t>
      </w:r>
      <w:r w:rsidRPr="00747E4C">
        <w:rPr>
          <w:sz w:val="22"/>
          <w:szCs w:val="22"/>
        </w:rPr>
        <w:t xml:space="preserve"> hodnot</w:t>
      </w:r>
      <w:r w:rsidR="00856D74">
        <w:rPr>
          <w:sz w:val="22"/>
          <w:szCs w:val="22"/>
        </w:rPr>
        <w:t>u</w:t>
      </w:r>
      <w:r w:rsidRPr="00747E4C">
        <w:rPr>
          <w:sz w:val="22"/>
          <w:szCs w:val="22"/>
        </w:rPr>
        <w:t xml:space="preserve"> monitorovacích ukazatelů </w:t>
      </w:r>
      <w:r w:rsidR="00856D74">
        <w:rPr>
          <w:sz w:val="22"/>
          <w:szCs w:val="22"/>
        </w:rPr>
        <w:t xml:space="preserve">komponenty AMIF a komplementární komponenty, tj. ukazatele SO2C2 a </w:t>
      </w:r>
      <w:r w:rsidR="00595C0D">
        <w:rPr>
          <w:sz w:val="22"/>
          <w:szCs w:val="22"/>
        </w:rPr>
        <w:t>EU1</w:t>
      </w:r>
      <w:r w:rsidR="00856D74">
        <w:rPr>
          <w:sz w:val="22"/>
          <w:szCs w:val="22"/>
        </w:rPr>
        <w:t xml:space="preserve"> </w:t>
      </w:r>
      <w:r w:rsidRPr="00747E4C">
        <w:rPr>
          <w:sz w:val="22"/>
          <w:szCs w:val="22"/>
        </w:rPr>
        <w:t>uvedených v Žádosti o podporu v Příloze č. 1 tohoto Rozhodnutí; definice monitorovacích ukazatelů je obsažena v pravidlech NP AMIF.</w:t>
      </w:r>
      <w:r w:rsidR="007F570E">
        <w:rPr>
          <w:sz w:val="22"/>
          <w:szCs w:val="22"/>
        </w:rPr>
        <w:t xml:space="preserve"> </w:t>
      </w:r>
    </w:p>
    <w:p w14:paraId="619627C3" w14:textId="5389A00D" w:rsidR="000F7B8B" w:rsidRDefault="000F7B8B" w:rsidP="000F7B8B">
      <w:pPr>
        <w:pStyle w:val="slovanseznam"/>
        <w:spacing w:before="120"/>
        <w:ind w:left="567"/>
        <w:rPr>
          <w:sz w:val="22"/>
          <w:szCs w:val="22"/>
        </w:rPr>
      </w:pPr>
      <w:r w:rsidRPr="00747E4C">
        <w:rPr>
          <w:sz w:val="22"/>
          <w:szCs w:val="22"/>
        </w:rPr>
        <w:t>Celkovou cílovou hodnotu monitorovacích ukazatelů výstupů příjemce naplní, pokud celková míra naplnění ukazatelů výstupů, resp. výsledků dosáhne 100 %.</w:t>
      </w:r>
    </w:p>
    <w:p w14:paraId="5880429F" w14:textId="0479CBA3" w:rsidR="000F7B8B" w:rsidRDefault="000F7B8B" w:rsidP="000F7B8B">
      <w:pPr>
        <w:pStyle w:val="slovanseznam"/>
        <w:tabs>
          <w:tab w:val="num" w:pos="567"/>
        </w:tabs>
        <w:ind w:left="567"/>
        <w:rPr>
          <w:sz w:val="22"/>
          <w:szCs w:val="22"/>
        </w:rPr>
      </w:pPr>
      <w:r w:rsidRPr="00747E4C">
        <w:rPr>
          <w:sz w:val="22"/>
          <w:szCs w:val="22"/>
        </w:rPr>
        <w:t>Pro zjištění celkové míry naplnění povinných monitorovacích ukazatelů výstupů se sečtou procenta naplnění cílových hodnot uvedených v Žádosti o podporu v příloze č. 1 tohoto Rozhodnutí u jednotlivých monitorovacích ukazatelů výstupů a vydělí se počtem těchto monitorovacích ukazatelů. Pokud nebyla vyčerpána celková maximální výše dotace, snižují se cílové hodnoty v Žádosti o podporu v příloze č. 1 tohoto Rozhodnutí tak, že se vynásobí podílem skutečně vyčerpané částky dotace k celkové maximální výši dotace. Překročení cílové hodnoty jednotlivých ukazatelů výstupů bude zohledněno maximálně v míře 120 %.</w:t>
      </w:r>
    </w:p>
    <w:p w14:paraId="7F399EF4" w14:textId="2C2AFD59" w:rsidR="00D476E0" w:rsidRPr="00747E4C" w:rsidRDefault="00D476E0" w:rsidP="001972C8">
      <w:pPr>
        <w:pStyle w:val="slovanseznam"/>
        <w:numPr>
          <w:ilvl w:val="1"/>
          <w:numId w:val="9"/>
        </w:numPr>
        <w:tabs>
          <w:tab w:val="num" w:pos="-4253"/>
        </w:tabs>
        <w:spacing w:after="0" w:line="240" w:lineRule="auto"/>
        <w:ind w:left="567" w:hanging="567"/>
        <w:rPr>
          <w:sz w:val="22"/>
          <w:szCs w:val="22"/>
        </w:rPr>
      </w:pPr>
      <w:r>
        <w:rPr>
          <w:sz w:val="22"/>
          <w:szCs w:val="22"/>
        </w:rPr>
        <w:t xml:space="preserve">Příjemce dotace je povinen zajistit, že hodnota ukazatele EU1 nepřekročí </w:t>
      </w:r>
      <w:r w:rsidR="00A467C5">
        <w:rPr>
          <w:sz w:val="22"/>
          <w:szCs w:val="22"/>
        </w:rPr>
        <w:t>10 % součtu hodnoty ukazatelů</w:t>
      </w:r>
      <w:r>
        <w:rPr>
          <w:sz w:val="22"/>
          <w:szCs w:val="22"/>
        </w:rPr>
        <w:t xml:space="preserve"> </w:t>
      </w:r>
      <w:r w:rsidR="00A467C5">
        <w:rPr>
          <w:sz w:val="22"/>
          <w:szCs w:val="22"/>
        </w:rPr>
        <w:t xml:space="preserve">EU1 a </w:t>
      </w:r>
      <w:r>
        <w:rPr>
          <w:sz w:val="22"/>
          <w:szCs w:val="22"/>
        </w:rPr>
        <w:t>SO2C2</w:t>
      </w:r>
      <w:r w:rsidR="00A467C5">
        <w:rPr>
          <w:sz w:val="22"/>
          <w:szCs w:val="22"/>
        </w:rPr>
        <w:t xml:space="preserve"> (tj. celkového počtu podpořených osob)</w:t>
      </w:r>
      <w:r>
        <w:rPr>
          <w:sz w:val="22"/>
          <w:szCs w:val="22"/>
        </w:rPr>
        <w:t xml:space="preserve">. K vyhodnocování naplnění tohoto pravidla dochází ve dvou </w:t>
      </w:r>
      <w:r w:rsidR="005C320F">
        <w:rPr>
          <w:sz w:val="22"/>
          <w:szCs w:val="22"/>
        </w:rPr>
        <w:t>rozhodných okamžicích</w:t>
      </w:r>
      <w:r>
        <w:rPr>
          <w:sz w:val="22"/>
          <w:szCs w:val="22"/>
        </w:rPr>
        <w:t xml:space="preserve">, k 28. 2. 2022 a k 31. 12. 2022. Pokud k datu 28. 2. 2022 respektive 31. 12. 2022 bude hodnota ukazatele EU1 menší nebo rovna </w:t>
      </w:r>
      <w:r w:rsidR="00A467C5">
        <w:rPr>
          <w:sz w:val="22"/>
          <w:szCs w:val="22"/>
        </w:rPr>
        <w:t>10 %</w:t>
      </w:r>
      <w:r>
        <w:rPr>
          <w:sz w:val="22"/>
          <w:szCs w:val="22"/>
        </w:rPr>
        <w:t xml:space="preserve"> hodnoty </w:t>
      </w:r>
      <w:r w:rsidR="00A467C5">
        <w:rPr>
          <w:sz w:val="22"/>
          <w:szCs w:val="22"/>
        </w:rPr>
        <w:t>součtu ukazatelů EU1 a</w:t>
      </w:r>
      <w:r>
        <w:rPr>
          <w:sz w:val="22"/>
          <w:szCs w:val="22"/>
        </w:rPr>
        <w:t xml:space="preserve"> SO2C2</w:t>
      </w:r>
      <w:r w:rsidR="00A467C5">
        <w:rPr>
          <w:sz w:val="22"/>
          <w:szCs w:val="22"/>
        </w:rPr>
        <w:t xml:space="preserve"> (tj. celkového počtu podpořených osob)</w:t>
      </w:r>
      <w:r>
        <w:rPr>
          <w:sz w:val="22"/>
          <w:szCs w:val="22"/>
        </w:rPr>
        <w:t>, má se pravidlo za splněné.</w:t>
      </w:r>
    </w:p>
    <w:p w14:paraId="4B88C559" w14:textId="77777777" w:rsidR="000F7B8B" w:rsidRPr="00747E4C" w:rsidRDefault="000F7B8B" w:rsidP="000F7B8B">
      <w:pPr>
        <w:pStyle w:val="slovanseznam"/>
        <w:numPr>
          <w:ilvl w:val="1"/>
          <w:numId w:val="9"/>
        </w:numPr>
        <w:tabs>
          <w:tab w:val="num" w:pos="720"/>
        </w:tabs>
        <w:spacing w:line="240" w:lineRule="auto"/>
        <w:ind w:left="567" w:hanging="567"/>
        <w:rPr>
          <w:sz w:val="22"/>
          <w:szCs w:val="22"/>
        </w:rPr>
      </w:pPr>
      <w:r w:rsidRPr="00747E4C">
        <w:rPr>
          <w:sz w:val="22"/>
          <w:szCs w:val="22"/>
        </w:rPr>
        <w:t xml:space="preserve">Příjemce dotace je povinen předávat poskytovateli dotace údaje nezbytné k průběžnému sledování přínosů projektu (monitorování projektu) a to prostřednictvím monitorovacích zpráv o realizaci projektu. Průběžnou monitorovací zprávu o realizaci projektu je příjemce povinen předložit do konce prvního měsíce následujícího po ukončení monitorovacího období, </w:t>
      </w:r>
      <w:r w:rsidRPr="00747E4C">
        <w:rPr>
          <w:sz w:val="22"/>
          <w:szCs w:val="22"/>
        </w:rPr>
        <w:lastRenderedPageBreak/>
        <w:t>závěrečnou zprávu o realizaci projektu do konce druhého měsíce následujícího po ukončení monitorovacího období. (V případě, že monitorovací období nekončí poslední den kalendářního měsíce, pak platí lhůta 30 dní, resp. 60 dní v případě závěrečné zprávy o realizaci).</w:t>
      </w:r>
    </w:p>
    <w:p w14:paraId="5907BD46" w14:textId="77777777" w:rsidR="000F7B8B" w:rsidRPr="00747E4C" w:rsidRDefault="000F7B8B" w:rsidP="000F7B8B">
      <w:pPr>
        <w:pStyle w:val="slovanseznam"/>
        <w:tabs>
          <w:tab w:val="num" w:pos="1478"/>
        </w:tabs>
        <w:ind w:left="567"/>
        <w:rPr>
          <w:sz w:val="22"/>
          <w:szCs w:val="22"/>
        </w:rPr>
      </w:pPr>
      <w:r w:rsidRPr="00747E4C">
        <w:rPr>
          <w:sz w:val="22"/>
          <w:szCs w:val="22"/>
        </w:rPr>
        <w:t>Vymezení monitorovacích období projektu, za které je příjemce povinen předložit monitorovací zprávu o realizaci projektu:</w:t>
      </w:r>
    </w:p>
    <w:p w14:paraId="18F50D62" w14:textId="77777777" w:rsidR="007457DF" w:rsidRPr="005C320F" w:rsidRDefault="007457DF" w:rsidP="001972C8">
      <w:pPr>
        <w:pStyle w:val="slovanseznam"/>
        <w:ind w:firstLine="567"/>
        <w:rPr>
          <w:sz w:val="22"/>
          <w:szCs w:val="22"/>
        </w:rPr>
      </w:pPr>
      <w:r w:rsidRPr="001972C8">
        <w:rPr>
          <w:sz w:val="22"/>
          <w:szCs w:val="22"/>
        </w:rPr>
        <w:t>1. 1. 2021 – 30. 4. 2021</w:t>
      </w:r>
    </w:p>
    <w:p w14:paraId="0C0F321C" w14:textId="77777777" w:rsidR="007457DF" w:rsidRPr="00386DBC" w:rsidRDefault="007457DF" w:rsidP="001972C8">
      <w:pPr>
        <w:pStyle w:val="slovanseznam"/>
        <w:ind w:firstLine="567"/>
        <w:rPr>
          <w:sz w:val="22"/>
          <w:szCs w:val="22"/>
        </w:rPr>
      </w:pPr>
      <w:r w:rsidRPr="00386DBC">
        <w:rPr>
          <w:sz w:val="22"/>
          <w:szCs w:val="22"/>
        </w:rPr>
        <w:t>1. 5. 2021 – 30. 9. 2021</w:t>
      </w:r>
    </w:p>
    <w:p w14:paraId="3E0216EB" w14:textId="77777777" w:rsidR="007457DF" w:rsidRPr="000E6722" w:rsidRDefault="007457DF" w:rsidP="001972C8">
      <w:pPr>
        <w:pStyle w:val="slovanseznam"/>
        <w:ind w:firstLine="567"/>
        <w:rPr>
          <w:sz w:val="22"/>
          <w:szCs w:val="22"/>
        </w:rPr>
      </w:pPr>
      <w:r w:rsidRPr="00B5138D">
        <w:rPr>
          <w:sz w:val="22"/>
          <w:szCs w:val="22"/>
        </w:rPr>
        <w:t>1. 10. 2021 – 28. 2. 2022</w:t>
      </w:r>
    </w:p>
    <w:p w14:paraId="7135F86E" w14:textId="77777777" w:rsidR="007457DF" w:rsidRPr="005C320F" w:rsidRDefault="007457DF" w:rsidP="001972C8">
      <w:pPr>
        <w:pStyle w:val="slovanseznam"/>
        <w:ind w:firstLine="567"/>
        <w:rPr>
          <w:sz w:val="22"/>
          <w:szCs w:val="22"/>
        </w:rPr>
      </w:pPr>
      <w:r w:rsidRPr="005C320F">
        <w:rPr>
          <w:sz w:val="22"/>
          <w:szCs w:val="22"/>
        </w:rPr>
        <w:t>1. 3. 2022 – 31. 7. 2022</w:t>
      </w:r>
    </w:p>
    <w:p w14:paraId="3E88839B" w14:textId="16058D87" w:rsidR="000F7B8B" w:rsidRDefault="007457DF" w:rsidP="001972C8">
      <w:pPr>
        <w:pStyle w:val="slovanseznam"/>
        <w:ind w:firstLine="567"/>
        <w:rPr>
          <w:sz w:val="22"/>
          <w:szCs w:val="22"/>
        </w:rPr>
      </w:pPr>
      <w:r w:rsidRPr="005C320F">
        <w:rPr>
          <w:sz w:val="22"/>
          <w:szCs w:val="22"/>
        </w:rPr>
        <w:t>1. 8. 2022-31. 12. 2022</w:t>
      </w:r>
    </w:p>
    <w:p w14:paraId="162D9DAA" w14:textId="77777777" w:rsidR="006E6917" w:rsidRPr="00747E4C" w:rsidRDefault="006E6917" w:rsidP="000F7B8B">
      <w:pPr>
        <w:pStyle w:val="slovanseznam"/>
        <w:ind w:left="567"/>
        <w:rPr>
          <w:sz w:val="22"/>
          <w:szCs w:val="22"/>
        </w:rPr>
      </w:pPr>
      <w:r w:rsidRPr="00615A5B">
        <w:rPr>
          <w:sz w:val="22"/>
        </w:rPr>
        <w:t xml:space="preserve">V případě, že </w:t>
      </w:r>
      <w:r>
        <w:rPr>
          <w:sz w:val="22"/>
        </w:rPr>
        <w:t xml:space="preserve">10 dní před termínem, který je stanoven pro předložení monitorovací zprávy, </w:t>
      </w:r>
      <w:r w:rsidRPr="00615A5B">
        <w:rPr>
          <w:sz w:val="22"/>
        </w:rPr>
        <w:t>není dokončena kontrola všech dříve předložených monitorovacích zpráv o</w:t>
      </w:r>
      <w:r>
        <w:rPr>
          <w:sz w:val="22"/>
        </w:rPr>
        <w:t> </w:t>
      </w:r>
      <w:r w:rsidRPr="00615A5B">
        <w:rPr>
          <w:sz w:val="22"/>
        </w:rPr>
        <w:t>realizaci projektu včetně žádosti o platbu, nelze následující monitorovací zprávu a žádost o</w:t>
      </w:r>
      <w:r>
        <w:rPr>
          <w:sz w:val="22"/>
        </w:rPr>
        <w:t> </w:t>
      </w:r>
      <w:r w:rsidRPr="00615A5B">
        <w:rPr>
          <w:sz w:val="22"/>
        </w:rPr>
        <w:t>platbu předložit v</w:t>
      </w:r>
      <w:r>
        <w:rPr>
          <w:sz w:val="22"/>
        </w:rPr>
        <w:t> </w:t>
      </w:r>
      <w:r w:rsidRPr="00615A5B">
        <w:rPr>
          <w:sz w:val="22"/>
        </w:rPr>
        <w:t xml:space="preserve">termínu stanoveném </w:t>
      </w:r>
      <w:r w:rsidR="0013382A">
        <w:rPr>
          <w:sz w:val="22"/>
        </w:rPr>
        <w:t>tímto Rozhodnutím</w:t>
      </w:r>
      <w:r w:rsidRPr="00615A5B">
        <w:rPr>
          <w:sz w:val="22"/>
        </w:rPr>
        <w:t>. Pokud tato překážka v realizaci projektu nastane, termín předložení následující monitorovací zprávy o realizaci projektu včetně žádosti o platbu je stanoven do 10 pracovních dní od</w:t>
      </w:r>
      <w:r>
        <w:rPr>
          <w:sz w:val="22"/>
        </w:rPr>
        <w:t xml:space="preserve"> </w:t>
      </w:r>
      <w:r w:rsidRPr="00615A5B">
        <w:rPr>
          <w:sz w:val="22"/>
        </w:rPr>
        <w:t>doručení oznámení o schválení nebo neschválení dříve předložené monitorovací zprávy o realizaci projektu včetně žádosti o platbu.</w:t>
      </w:r>
    </w:p>
    <w:p w14:paraId="6F0639C1" w14:textId="77777777" w:rsidR="000F7B8B" w:rsidRPr="00747E4C" w:rsidRDefault="000F7B8B" w:rsidP="00D476E0">
      <w:pPr>
        <w:pStyle w:val="slovanseznam"/>
        <w:numPr>
          <w:ilvl w:val="1"/>
          <w:numId w:val="9"/>
        </w:numPr>
        <w:tabs>
          <w:tab w:val="num" w:pos="720"/>
        </w:tabs>
        <w:spacing w:line="240" w:lineRule="auto"/>
        <w:ind w:left="567" w:hanging="567"/>
        <w:rPr>
          <w:sz w:val="22"/>
          <w:szCs w:val="22"/>
        </w:rPr>
      </w:pPr>
      <w:r w:rsidRPr="00747E4C">
        <w:rPr>
          <w:sz w:val="22"/>
          <w:szCs w:val="22"/>
        </w:rPr>
        <w:t>Příjemce dotace je povinen předkládat monitorovací zprávy o realizaci projektu ve </w:t>
      </w:r>
      <w:r w:rsidRPr="001A00CF">
        <w:rPr>
          <w:sz w:val="22"/>
        </w:rPr>
        <w:t>formátu</w:t>
      </w:r>
      <w:r w:rsidRPr="00747E4C">
        <w:rPr>
          <w:sz w:val="22"/>
          <w:szCs w:val="22"/>
        </w:rPr>
        <w:t>, který poskytovatel pro projekt nastaví a zveřejní na webovém portálu OO.</w:t>
      </w:r>
    </w:p>
    <w:p w14:paraId="5CE28764" w14:textId="77777777" w:rsidR="000F7B8B" w:rsidRPr="00747E4C" w:rsidRDefault="000F7B8B" w:rsidP="001972C8">
      <w:pPr>
        <w:pStyle w:val="slovanseznam"/>
        <w:numPr>
          <w:ilvl w:val="1"/>
          <w:numId w:val="9"/>
        </w:numPr>
        <w:tabs>
          <w:tab w:val="num" w:pos="720"/>
        </w:tabs>
        <w:spacing w:line="240" w:lineRule="auto"/>
        <w:ind w:left="567" w:hanging="567"/>
        <w:rPr>
          <w:sz w:val="22"/>
          <w:szCs w:val="22"/>
        </w:rPr>
      </w:pPr>
      <w:r w:rsidRPr="00747E4C">
        <w:rPr>
          <w:sz w:val="22"/>
          <w:szCs w:val="22"/>
        </w:rPr>
        <w:t>Nápravy nedostatků žádostí o změnu projektu, monitorovacích zpráv o realizaci projektu (včetně spolu s nimi předložených žádostí o platbu) a případně další dokumentace vyžádané poskytovatelem je příjemce povinen předkládat v termínech stanovených poskytovatelem.</w:t>
      </w:r>
    </w:p>
    <w:p w14:paraId="7970DEEB" w14:textId="77777777" w:rsidR="000F7B8B" w:rsidRPr="00747E4C" w:rsidRDefault="000F7B8B" w:rsidP="001A00CF">
      <w:pPr>
        <w:pStyle w:val="slovanseznam"/>
        <w:numPr>
          <w:ilvl w:val="0"/>
          <w:numId w:val="9"/>
        </w:numPr>
        <w:spacing w:before="240" w:line="240" w:lineRule="auto"/>
        <w:rPr>
          <w:b/>
          <w:bCs/>
          <w:sz w:val="22"/>
          <w:szCs w:val="22"/>
        </w:rPr>
      </w:pPr>
      <w:r w:rsidRPr="00747E4C">
        <w:rPr>
          <w:b/>
          <w:bCs/>
          <w:sz w:val="22"/>
          <w:szCs w:val="22"/>
        </w:rPr>
        <w:t>Veřejná podpora a podpora de minimis</w:t>
      </w:r>
    </w:p>
    <w:p w14:paraId="7A24C42B" w14:textId="77777777" w:rsidR="000F7B8B" w:rsidRPr="00747E4C" w:rsidRDefault="000F7B8B" w:rsidP="000F7B8B">
      <w:pPr>
        <w:pStyle w:val="slovanseznam"/>
        <w:spacing w:after="60"/>
        <w:rPr>
          <w:sz w:val="22"/>
          <w:szCs w:val="22"/>
        </w:rPr>
      </w:pPr>
      <w:r w:rsidRPr="00747E4C">
        <w:rPr>
          <w:sz w:val="22"/>
          <w:szCs w:val="22"/>
        </w:rPr>
        <w:t xml:space="preserve">Dotace poskytnutá na realizaci projektu nezakládá veřejnou podporu. </w:t>
      </w:r>
    </w:p>
    <w:p w14:paraId="6F86ADEA" w14:textId="77777777" w:rsidR="000F7B8B" w:rsidRPr="00747E4C" w:rsidRDefault="000F7B8B" w:rsidP="000F7B8B">
      <w:pPr>
        <w:spacing w:before="360"/>
        <w:jc w:val="center"/>
        <w:rPr>
          <w:rFonts w:cs="Arial"/>
          <w:b/>
        </w:rPr>
      </w:pPr>
      <w:r w:rsidRPr="00747E4C">
        <w:rPr>
          <w:rFonts w:cs="Arial"/>
          <w:b/>
        </w:rPr>
        <w:t>Část IV</w:t>
      </w:r>
    </w:p>
    <w:p w14:paraId="1CCAD36F" w14:textId="77777777" w:rsidR="000F7B8B" w:rsidRPr="00747E4C" w:rsidRDefault="000F7B8B" w:rsidP="000F7B8B">
      <w:pPr>
        <w:jc w:val="center"/>
        <w:rPr>
          <w:rFonts w:cs="Arial"/>
          <w:b/>
        </w:rPr>
      </w:pPr>
      <w:r w:rsidRPr="00747E4C">
        <w:rPr>
          <w:rFonts w:cs="Arial"/>
          <w:b/>
        </w:rPr>
        <w:t xml:space="preserve">Platební podmínky </w:t>
      </w:r>
    </w:p>
    <w:p w14:paraId="2C1E12AE" w14:textId="77777777" w:rsidR="000F7B8B" w:rsidRPr="00747E4C" w:rsidRDefault="000F7B8B" w:rsidP="000F7B8B">
      <w:pPr>
        <w:pStyle w:val="slovanseznam"/>
        <w:numPr>
          <w:ilvl w:val="0"/>
          <w:numId w:val="10"/>
        </w:numPr>
        <w:spacing w:before="240" w:line="240" w:lineRule="auto"/>
        <w:rPr>
          <w:b/>
          <w:bCs/>
          <w:sz w:val="22"/>
          <w:szCs w:val="22"/>
        </w:rPr>
      </w:pPr>
      <w:r w:rsidRPr="00747E4C">
        <w:rPr>
          <w:b/>
          <w:bCs/>
          <w:sz w:val="22"/>
          <w:szCs w:val="22"/>
        </w:rPr>
        <w:t xml:space="preserve">Žádost o platbu </w:t>
      </w:r>
    </w:p>
    <w:p w14:paraId="18BF7062" w14:textId="77777777" w:rsidR="000F7B8B" w:rsidRPr="00747E4C" w:rsidRDefault="000F7B8B" w:rsidP="000F7B8B">
      <w:pPr>
        <w:pStyle w:val="slovanseznam"/>
        <w:numPr>
          <w:ilvl w:val="1"/>
          <w:numId w:val="10"/>
        </w:numPr>
        <w:tabs>
          <w:tab w:val="num" w:pos="720"/>
        </w:tabs>
        <w:spacing w:line="240" w:lineRule="auto"/>
        <w:ind w:left="567" w:hanging="567"/>
        <w:rPr>
          <w:sz w:val="22"/>
          <w:szCs w:val="22"/>
        </w:rPr>
      </w:pPr>
      <w:r w:rsidRPr="00747E4C">
        <w:rPr>
          <w:sz w:val="22"/>
          <w:szCs w:val="22"/>
        </w:rPr>
        <w:t xml:space="preserve">Příjemce dotace je povinen pro účely poskytnutí prostředků dotace předkládat poskytovateli spolu s každou monitorovací zprávou o realizaci projektu řádně vyplněnou žádost o platbu podloženou příslušnými doklady dle pravidel NP AMIF. </w:t>
      </w:r>
    </w:p>
    <w:p w14:paraId="03472AE9" w14:textId="77777777" w:rsidR="000F7B8B" w:rsidRPr="00747E4C" w:rsidRDefault="000F7B8B" w:rsidP="000F7B8B">
      <w:pPr>
        <w:pStyle w:val="slovanseznam"/>
        <w:numPr>
          <w:ilvl w:val="1"/>
          <w:numId w:val="10"/>
        </w:numPr>
        <w:tabs>
          <w:tab w:val="num" w:pos="720"/>
        </w:tabs>
        <w:spacing w:after="240" w:line="240" w:lineRule="auto"/>
        <w:ind w:left="567" w:hanging="567"/>
        <w:rPr>
          <w:sz w:val="22"/>
          <w:szCs w:val="22"/>
        </w:rPr>
      </w:pPr>
      <w:r w:rsidRPr="00747E4C">
        <w:rPr>
          <w:sz w:val="22"/>
          <w:szCs w:val="22"/>
        </w:rPr>
        <w:t xml:space="preserve">Příjemce dotace je povinen předkládat žádosti o platbu ve formátu, který poskytovatel pro projekt nastaví a zveřejní na portálu OO. </w:t>
      </w:r>
    </w:p>
    <w:p w14:paraId="5C45CECF" w14:textId="77777777" w:rsidR="000F7B8B" w:rsidRPr="00747E4C" w:rsidRDefault="000F7B8B" w:rsidP="000F7B8B">
      <w:pPr>
        <w:pStyle w:val="slovanseznam"/>
        <w:numPr>
          <w:ilvl w:val="0"/>
          <w:numId w:val="10"/>
        </w:numPr>
        <w:spacing w:before="240" w:line="240" w:lineRule="auto"/>
        <w:rPr>
          <w:b/>
          <w:bCs/>
          <w:sz w:val="22"/>
          <w:szCs w:val="22"/>
        </w:rPr>
      </w:pPr>
      <w:r w:rsidRPr="00747E4C">
        <w:rPr>
          <w:b/>
          <w:bCs/>
          <w:sz w:val="22"/>
          <w:szCs w:val="22"/>
        </w:rPr>
        <w:t xml:space="preserve">Převod prostředků dotace </w:t>
      </w:r>
    </w:p>
    <w:p w14:paraId="7D1BD4CF" w14:textId="77777777" w:rsidR="000F7B8B" w:rsidRPr="00747E4C" w:rsidRDefault="000F7B8B" w:rsidP="000F7B8B">
      <w:pPr>
        <w:pStyle w:val="slovanseznam"/>
        <w:spacing w:after="60"/>
        <w:rPr>
          <w:sz w:val="22"/>
          <w:szCs w:val="22"/>
        </w:rPr>
      </w:pPr>
      <w:r w:rsidRPr="00747E4C">
        <w:rPr>
          <w:sz w:val="22"/>
          <w:szCs w:val="22"/>
        </w:rPr>
        <w:t>Poskytovatel bude dotaci specifikovanou v článku I této smlouvy příjemci poskytovat ve splátkách v závislosti na postupu realizace projektu. Dotace bude poskytována bezhotovostními bankovními převody na bankovní účet uvedený v části specifikace příjemce dotace. Dnem poskytnutí se rozumí den odepsání částky z účtu poskytovatele.</w:t>
      </w:r>
    </w:p>
    <w:p w14:paraId="2FBFF27A" w14:textId="77777777" w:rsidR="000F7B8B" w:rsidRPr="00747E4C" w:rsidRDefault="000F7B8B" w:rsidP="000F7B8B">
      <w:pPr>
        <w:pStyle w:val="slovanseznam"/>
        <w:numPr>
          <w:ilvl w:val="0"/>
          <w:numId w:val="10"/>
        </w:numPr>
        <w:spacing w:before="240" w:line="240" w:lineRule="auto"/>
        <w:rPr>
          <w:b/>
          <w:bCs/>
          <w:sz w:val="22"/>
          <w:szCs w:val="22"/>
        </w:rPr>
      </w:pPr>
      <w:r w:rsidRPr="00747E4C">
        <w:rPr>
          <w:b/>
          <w:bCs/>
          <w:sz w:val="22"/>
          <w:szCs w:val="22"/>
        </w:rPr>
        <w:lastRenderedPageBreak/>
        <w:t>Proplácení částí dotace</w:t>
      </w:r>
    </w:p>
    <w:p w14:paraId="71C5EDBC" w14:textId="77777777" w:rsidR="000F7B8B" w:rsidRPr="00747E4C" w:rsidRDefault="000F7B8B" w:rsidP="000F7B8B">
      <w:pPr>
        <w:pStyle w:val="slovanseznam"/>
        <w:numPr>
          <w:ilvl w:val="1"/>
          <w:numId w:val="10"/>
        </w:numPr>
        <w:tabs>
          <w:tab w:val="num" w:pos="720"/>
        </w:tabs>
        <w:spacing w:line="240" w:lineRule="auto"/>
        <w:ind w:left="567" w:hanging="567"/>
        <w:rPr>
          <w:sz w:val="22"/>
          <w:szCs w:val="22"/>
        </w:rPr>
      </w:pPr>
      <w:r w:rsidRPr="00747E4C">
        <w:rPr>
          <w:sz w:val="22"/>
          <w:szCs w:val="22"/>
        </w:rPr>
        <w:t xml:space="preserve">První část dotace bude příjemci dotace proplacena ve výši </w:t>
      </w:r>
      <w:r w:rsidRPr="008202EC">
        <w:rPr>
          <w:sz w:val="22"/>
          <w:szCs w:val="22"/>
          <w:highlight w:val="yellow"/>
        </w:rPr>
        <w:t>[…]</w:t>
      </w:r>
      <w:r w:rsidRPr="00747E4C">
        <w:rPr>
          <w:sz w:val="22"/>
          <w:szCs w:val="22"/>
        </w:rPr>
        <w:t xml:space="preserve">,- Kč, z toho prostředky ve výši </w:t>
      </w:r>
      <w:r w:rsidRPr="008202EC">
        <w:rPr>
          <w:sz w:val="22"/>
          <w:szCs w:val="22"/>
          <w:highlight w:val="yellow"/>
        </w:rPr>
        <w:t>[…]</w:t>
      </w:r>
      <w:r w:rsidRPr="00747E4C">
        <w:rPr>
          <w:sz w:val="22"/>
          <w:szCs w:val="22"/>
        </w:rPr>
        <w:t xml:space="preserve">,- Kč jsou poskytovány na neinvestiční výdaje projektu a prostředky ve výši </w:t>
      </w:r>
      <w:r w:rsidRPr="008202EC">
        <w:rPr>
          <w:sz w:val="22"/>
          <w:szCs w:val="22"/>
          <w:highlight w:val="yellow"/>
        </w:rPr>
        <w:t>0,-</w:t>
      </w:r>
      <w:r w:rsidRPr="00747E4C">
        <w:rPr>
          <w:sz w:val="22"/>
          <w:szCs w:val="22"/>
        </w:rPr>
        <w:t xml:space="preserve"> Kč na investiční výdaje projektu dle zákona č. 563/1991 Sb., o účetnictví.</w:t>
      </w:r>
    </w:p>
    <w:p w14:paraId="513E4712" w14:textId="77777777" w:rsidR="000F7B8B" w:rsidRPr="00747E4C" w:rsidRDefault="000F7B8B" w:rsidP="000F7B8B">
      <w:pPr>
        <w:pStyle w:val="slovanseznam"/>
        <w:numPr>
          <w:ilvl w:val="1"/>
          <w:numId w:val="10"/>
        </w:numPr>
        <w:tabs>
          <w:tab w:val="num" w:pos="720"/>
        </w:tabs>
        <w:spacing w:line="240" w:lineRule="auto"/>
        <w:ind w:left="567" w:hanging="567"/>
        <w:rPr>
          <w:sz w:val="22"/>
          <w:szCs w:val="22"/>
        </w:rPr>
      </w:pPr>
      <w:r w:rsidRPr="00747E4C">
        <w:rPr>
          <w:sz w:val="22"/>
          <w:szCs w:val="22"/>
        </w:rPr>
        <w:t xml:space="preserve">Další části dotace budou propláceny až do maximální výše dotace snížené o část dotace neproplacenou podle § 14e rozpočtových pravidel, vrácenou podle § 14f odst. 3 rozpočtových pravidel a o provedený odvod za porušení rozpočtové kázně podle § 44a rozpočtových pravidel, a to na základě schválených žádostí o platbu. Výše splátky se rovná částce schválených způsobilých výdajů projektu v rámci dané žádosti o platbu, s výjimkou situace, kdy by poskytnutím platby ve výši schválených výdajů došlo k překročení maximální částky dotace dle části I bodu 2.1 tohoto Rozhodnutí; v tomto případě je částka splátky snížena tak, aby prostředky poskytnuté na projekty dosahovaly souhrnně nejvýše maximální částku dotace. Další části dotace jsou určeny pouze na neinvestiční výdaje projektu. </w:t>
      </w:r>
    </w:p>
    <w:p w14:paraId="5D396E74" w14:textId="77777777" w:rsidR="000F7B8B" w:rsidRPr="00747E4C" w:rsidRDefault="000F7B8B" w:rsidP="000F7B8B">
      <w:pPr>
        <w:pStyle w:val="slovanseznam"/>
        <w:numPr>
          <w:ilvl w:val="0"/>
          <w:numId w:val="10"/>
        </w:numPr>
        <w:spacing w:before="240" w:line="240" w:lineRule="auto"/>
        <w:rPr>
          <w:b/>
          <w:bCs/>
          <w:sz w:val="22"/>
          <w:szCs w:val="22"/>
        </w:rPr>
      </w:pPr>
      <w:r w:rsidRPr="00747E4C">
        <w:rPr>
          <w:b/>
          <w:bCs/>
          <w:sz w:val="22"/>
          <w:szCs w:val="22"/>
        </w:rPr>
        <w:t>Nepřímé náklady</w:t>
      </w:r>
    </w:p>
    <w:p w14:paraId="7F4F4E13" w14:textId="77777777" w:rsidR="000F7B8B" w:rsidRPr="00747E4C" w:rsidRDefault="000F7B8B" w:rsidP="000F7B8B">
      <w:pPr>
        <w:pStyle w:val="slovanseznam"/>
        <w:tabs>
          <w:tab w:val="num" w:pos="720"/>
        </w:tabs>
        <w:rPr>
          <w:sz w:val="22"/>
          <w:szCs w:val="22"/>
        </w:rPr>
      </w:pPr>
      <w:r w:rsidRPr="00747E4C">
        <w:rPr>
          <w:sz w:val="22"/>
          <w:szCs w:val="22"/>
        </w:rPr>
        <w:t>Nepřímé náklady projektu jsou považovány za uskutečněné ve výši, která je výsledkem násobku procenta nepřímých nákladů platného pro projekt a částky odpovídající prokázaným způsobilým přímým nákladům projektu bez investičních výdajů.</w:t>
      </w:r>
    </w:p>
    <w:p w14:paraId="20732B5C" w14:textId="77777777" w:rsidR="000F7B8B" w:rsidRPr="00747E4C" w:rsidRDefault="000F7B8B" w:rsidP="000F7B8B">
      <w:pPr>
        <w:pStyle w:val="slovanseznam"/>
        <w:rPr>
          <w:sz w:val="22"/>
          <w:szCs w:val="22"/>
        </w:rPr>
      </w:pPr>
      <w:r w:rsidRPr="00747E4C">
        <w:rPr>
          <w:sz w:val="22"/>
          <w:szCs w:val="22"/>
        </w:rPr>
        <w:t xml:space="preserve">Procento nepřímých nákladů platné pro projekt: </w:t>
      </w:r>
      <w:r w:rsidRPr="008202EC">
        <w:rPr>
          <w:sz w:val="22"/>
          <w:szCs w:val="22"/>
          <w:highlight w:val="yellow"/>
        </w:rPr>
        <w:t>[</w:t>
      </w:r>
      <w:r w:rsidRPr="008202EC">
        <w:rPr>
          <w:sz w:val="22"/>
          <w:szCs w:val="22"/>
          <w:highlight w:val="yellow"/>
          <w:shd w:val="clear" w:color="auto" w:fill="D9D9D9" w:themeFill="background1" w:themeFillShade="D9"/>
        </w:rPr>
        <w:t>…</w:t>
      </w:r>
      <w:r w:rsidRPr="008202EC">
        <w:rPr>
          <w:sz w:val="22"/>
          <w:szCs w:val="22"/>
          <w:highlight w:val="yellow"/>
        </w:rPr>
        <w:t>]</w:t>
      </w:r>
      <w:r w:rsidRPr="00747E4C">
        <w:rPr>
          <w:sz w:val="22"/>
          <w:szCs w:val="22"/>
        </w:rPr>
        <w:t xml:space="preserve"> %</w:t>
      </w:r>
    </w:p>
    <w:p w14:paraId="7D533705" w14:textId="77777777" w:rsidR="000F7B8B" w:rsidRPr="00747E4C" w:rsidRDefault="000F7B8B" w:rsidP="000F7B8B">
      <w:pPr>
        <w:pStyle w:val="slovanseznam"/>
        <w:rPr>
          <w:sz w:val="22"/>
          <w:szCs w:val="22"/>
        </w:rPr>
      </w:pPr>
      <w:r w:rsidRPr="00747E4C">
        <w:rPr>
          <w:sz w:val="22"/>
          <w:szCs w:val="22"/>
        </w:rPr>
        <w:t>Procento nepřímých nákladů bude odpovídajícím způsobem sníženo, pokud na základě vyúčtování celkových uskutečněných přímých způsobilých výdajů projektu bude projekt patřit do kategorie projektů s nižším procentem nepřímých nákladů, než bylo stanoveno na základě plánovaného rozpočtu projektu.</w:t>
      </w:r>
    </w:p>
    <w:p w14:paraId="7C72A968" w14:textId="77777777" w:rsidR="000F7B8B" w:rsidRPr="00747E4C" w:rsidRDefault="000F7B8B" w:rsidP="000F7B8B">
      <w:pPr>
        <w:pStyle w:val="slovanseznam"/>
        <w:numPr>
          <w:ilvl w:val="0"/>
          <w:numId w:val="10"/>
        </w:numPr>
        <w:spacing w:before="240" w:line="240" w:lineRule="auto"/>
        <w:rPr>
          <w:b/>
          <w:bCs/>
          <w:sz w:val="22"/>
          <w:szCs w:val="22"/>
        </w:rPr>
      </w:pPr>
      <w:r w:rsidRPr="00747E4C">
        <w:rPr>
          <w:b/>
          <w:bCs/>
          <w:sz w:val="22"/>
          <w:szCs w:val="22"/>
        </w:rPr>
        <w:t xml:space="preserve">Přeplatek dotace </w:t>
      </w:r>
    </w:p>
    <w:p w14:paraId="55D9FEE1" w14:textId="77777777" w:rsidR="000F7B8B" w:rsidRPr="00747E4C" w:rsidRDefault="000F7B8B" w:rsidP="000F7B8B">
      <w:pPr>
        <w:pStyle w:val="slovanseznam"/>
        <w:tabs>
          <w:tab w:val="num" w:pos="720"/>
        </w:tabs>
        <w:spacing w:after="60"/>
        <w:rPr>
          <w:sz w:val="22"/>
          <w:szCs w:val="22"/>
        </w:rPr>
      </w:pPr>
      <w:r w:rsidRPr="00747E4C">
        <w:rPr>
          <w:sz w:val="22"/>
          <w:szCs w:val="22"/>
        </w:rPr>
        <w:t>V případě, že celková dotace poukázaná ve prospěch účtu uvedeného v úvodu tohoto Rozhodnutí převyšuje částku, která by dle závěrečného vyúčtování výdajů projektu měla být z dotace poskytnuta, musí být rozdíl vrácen poskytovateli. Příjemce se zavazuje navrátit tyto prostředky v termínu a způsobem stanovenými ve výzvě zpracované poskytovatelem.</w:t>
      </w:r>
    </w:p>
    <w:p w14:paraId="2713E092" w14:textId="77777777" w:rsidR="000F7B8B" w:rsidRPr="00747E4C" w:rsidRDefault="000F7B8B" w:rsidP="000F7B8B">
      <w:pPr>
        <w:spacing w:before="360"/>
        <w:jc w:val="center"/>
        <w:rPr>
          <w:rFonts w:cs="Arial"/>
          <w:b/>
        </w:rPr>
      </w:pPr>
      <w:r w:rsidRPr="00747E4C">
        <w:rPr>
          <w:rFonts w:cs="Arial"/>
          <w:b/>
        </w:rPr>
        <w:t xml:space="preserve">Část V </w:t>
      </w:r>
    </w:p>
    <w:p w14:paraId="409B0AEB" w14:textId="77777777" w:rsidR="000F7B8B" w:rsidRPr="00747E4C" w:rsidRDefault="000F7B8B" w:rsidP="000F7B8B">
      <w:pPr>
        <w:jc w:val="center"/>
        <w:rPr>
          <w:rFonts w:cs="Arial"/>
          <w:b/>
        </w:rPr>
      </w:pPr>
      <w:r w:rsidRPr="00747E4C">
        <w:rPr>
          <w:rFonts w:cs="Arial"/>
          <w:b/>
        </w:rPr>
        <w:t xml:space="preserve">Sankce </w:t>
      </w:r>
    </w:p>
    <w:p w14:paraId="16FEB6F6" w14:textId="77777777" w:rsidR="000F7B8B" w:rsidRPr="00747E4C" w:rsidRDefault="000F7B8B" w:rsidP="000F7B8B">
      <w:pPr>
        <w:pStyle w:val="slovanseznam"/>
        <w:numPr>
          <w:ilvl w:val="0"/>
          <w:numId w:val="11"/>
        </w:numPr>
        <w:spacing w:before="240" w:line="240" w:lineRule="auto"/>
        <w:rPr>
          <w:b/>
          <w:bCs/>
          <w:sz w:val="22"/>
          <w:szCs w:val="22"/>
        </w:rPr>
      </w:pPr>
      <w:r w:rsidRPr="00747E4C">
        <w:rPr>
          <w:b/>
          <w:bCs/>
          <w:sz w:val="22"/>
          <w:szCs w:val="22"/>
        </w:rPr>
        <w:t>Pozastavení proplácení prostředků dotace</w:t>
      </w:r>
    </w:p>
    <w:p w14:paraId="44BDA9D3" w14:textId="77777777" w:rsidR="000F7B8B" w:rsidRPr="00747E4C" w:rsidRDefault="000F7B8B" w:rsidP="000F7B8B">
      <w:pPr>
        <w:pStyle w:val="slovanseznam"/>
        <w:spacing w:after="240"/>
        <w:rPr>
          <w:sz w:val="22"/>
          <w:szCs w:val="22"/>
        </w:rPr>
      </w:pPr>
      <w:r w:rsidRPr="00747E4C">
        <w:rPr>
          <w:sz w:val="22"/>
          <w:szCs w:val="22"/>
        </w:rPr>
        <w:t>Pokud poskytovatel nebo jiná osoba oprávněná ke kontrole dodržování podmínek dle tohoto Rozhodnutí zjistí, že příjemce dotace nesplnil nebo neplní některou z podmínek uvedených v tomto Rozhodnutí, je poskytovatel oprávněn pozastavit proplácení prostředků dotace a zahájit potřebné kroky vedoucí k identifikaci, zda nevzniklo podezření na porušení rozpočtové kázně podle rozpočtových pravidel.</w:t>
      </w:r>
    </w:p>
    <w:p w14:paraId="3B28CECE" w14:textId="77777777" w:rsidR="000F7B8B" w:rsidRPr="00747E4C" w:rsidRDefault="000F7B8B" w:rsidP="000F7B8B">
      <w:pPr>
        <w:pStyle w:val="slovanseznam"/>
        <w:numPr>
          <w:ilvl w:val="0"/>
          <w:numId w:val="11"/>
        </w:numPr>
        <w:spacing w:before="240" w:line="240" w:lineRule="auto"/>
        <w:rPr>
          <w:b/>
          <w:bCs/>
          <w:sz w:val="22"/>
          <w:szCs w:val="22"/>
        </w:rPr>
      </w:pPr>
      <w:r w:rsidRPr="00747E4C">
        <w:rPr>
          <w:b/>
          <w:bCs/>
          <w:sz w:val="22"/>
          <w:szCs w:val="22"/>
        </w:rPr>
        <w:t xml:space="preserve">Neproplácení dotace na základě § 14e zákona č. 218/2000Sb., o rozpočtových pravidlech a o změně některých souvisejících zákonů (rozpočtová pravidla) </w:t>
      </w:r>
    </w:p>
    <w:p w14:paraId="279295CC" w14:textId="77777777" w:rsidR="000F7B8B" w:rsidRPr="00747E4C" w:rsidRDefault="000F7B8B" w:rsidP="000F7B8B">
      <w:pPr>
        <w:pStyle w:val="slovanseznam"/>
        <w:spacing w:after="240"/>
        <w:rPr>
          <w:sz w:val="22"/>
          <w:szCs w:val="22"/>
        </w:rPr>
      </w:pPr>
      <w:r w:rsidRPr="00747E4C">
        <w:rPr>
          <w:sz w:val="22"/>
          <w:szCs w:val="22"/>
        </w:rPr>
        <w:t xml:space="preserve">Poskytovatel nemusí vyplatit část dotace, domnívá-li se, že došlo k porušení pravidel stanovených tímto Rozhodnutím. Pokud poskytovatel odhalí porušení podmínek, je oprávněn provést krácení dle § 14e rozpočtových pravidel, a to maximálně do výše, která je stanovena v rozhodnutí o poskytnutí </w:t>
      </w:r>
      <w:r w:rsidRPr="00747E4C">
        <w:rPr>
          <w:sz w:val="22"/>
          <w:szCs w:val="22"/>
        </w:rPr>
        <w:lastRenderedPageBreak/>
        <w:t>dotace, resp. ve výši stanovené za porušení dané povinnosti v tabulce sankcí pro oblast zadávání obsažené v Příručce pro žadatele a příjemce jako nejvyšší možná výše odvodu za předmětné porušení podmínek. Při stanovení výše sankce přihlédne k závažnosti porušení a jeho vlivu na dodržení cíle dotace.</w:t>
      </w:r>
    </w:p>
    <w:p w14:paraId="3D89683C" w14:textId="77777777" w:rsidR="000F7B8B" w:rsidRPr="00747E4C" w:rsidRDefault="000F7B8B" w:rsidP="000F7B8B">
      <w:pPr>
        <w:pStyle w:val="slovanseznam"/>
        <w:numPr>
          <w:ilvl w:val="0"/>
          <w:numId w:val="11"/>
        </w:numPr>
        <w:spacing w:before="240" w:line="240" w:lineRule="auto"/>
        <w:rPr>
          <w:b/>
          <w:bCs/>
          <w:sz w:val="22"/>
          <w:szCs w:val="22"/>
        </w:rPr>
      </w:pPr>
      <w:r w:rsidRPr="00747E4C">
        <w:rPr>
          <w:b/>
          <w:bCs/>
          <w:sz w:val="22"/>
          <w:szCs w:val="22"/>
        </w:rPr>
        <w:t>Diferenciace odvodu za porušení rozpočtové kázně dle závažnosti porušení podmínek</w:t>
      </w:r>
    </w:p>
    <w:p w14:paraId="5B709751" w14:textId="489E7E66" w:rsidR="000F7B8B" w:rsidRPr="00747E4C" w:rsidRDefault="000F7B8B" w:rsidP="000F7B8B">
      <w:pPr>
        <w:pStyle w:val="slovanseznam"/>
        <w:numPr>
          <w:ilvl w:val="1"/>
          <w:numId w:val="11"/>
        </w:numPr>
        <w:tabs>
          <w:tab w:val="num" w:pos="720"/>
        </w:tabs>
        <w:spacing w:line="240" w:lineRule="auto"/>
        <w:ind w:left="567" w:hanging="567"/>
        <w:rPr>
          <w:sz w:val="22"/>
          <w:szCs w:val="22"/>
        </w:rPr>
      </w:pPr>
      <w:r w:rsidRPr="00747E4C">
        <w:rPr>
          <w:sz w:val="22"/>
          <w:szCs w:val="22"/>
        </w:rPr>
        <w:t>V případě porušení podmínek týkajících se účelu a udržitelnosti (uvedených v části II bodě 2 a 4) bude vyměřen odvod za porušení rozpočtové kázně ve výši celkové dosud vyplacené částky dotace podle § 44a odst. 4 písm. b) rozpočtových pravidel</w:t>
      </w:r>
      <w:r w:rsidR="000E6722">
        <w:rPr>
          <w:sz w:val="22"/>
          <w:szCs w:val="22"/>
        </w:rPr>
        <w:t xml:space="preserve"> s výjimkou případu popsaného v části 4.4 výzvy AMIF č. 28</w:t>
      </w:r>
      <w:r w:rsidRPr="00747E4C">
        <w:rPr>
          <w:sz w:val="22"/>
          <w:szCs w:val="22"/>
        </w:rPr>
        <w:t>.</w:t>
      </w:r>
    </w:p>
    <w:p w14:paraId="0969F03F" w14:textId="77777777" w:rsidR="000F7B8B" w:rsidRPr="00747E4C" w:rsidRDefault="000F7B8B" w:rsidP="000F7B8B">
      <w:pPr>
        <w:pStyle w:val="slovanseznam"/>
        <w:numPr>
          <w:ilvl w:val="1"/>
          <w:numId w:val="11"/>
        </w:numPr>
        <w:tabs>
          <w:tab w:val="num" w:pos="720"/>
        </w:tabs>
        <w:spacing w:line="240" w:lineRule="auto"/>
        <w:ind w:left="567" w:hanging="567"/>
        <w:rPr>
          <w:sz w:val="22"/>
          <w:szCs w:val="22"/>
        </w:rPr>
      </w:pPr>
      <w:r w:rsidRPr="00747E4C">
        <w:rPr>
          <w:sz w:val="22"/>
          <w:szCs w:val="22"/>
        </w:rPr>
        <w:t xml:space="preserve">V případě porušení podmínek, u kterých lze vyčíslit výši porušení rozpočtové kázně (tj. porušení má jednoznačnou vazbu na způsobilé výdaje), bude vyměřen odvod podle § 44a odst. 4 písm. b) rozpočtových pravidel ve výši nezpůsobilých výdajů uhrazených z dotace. </w:t>
      </w:r>
    </w:p>
    <w:p w14:paraId="403250FE" w14:textId="77777777" w:rsidR="000F7B8B" w:rsidRPr="00747E4C" w:rsidRDefault="000F7B8B" w:rsidP="000F7B8B">
      <w:pPr>
        <w:pStyle w:val="slovanseznam"/>
        <w:numPr>
          <w:ilvl w:val="1"/>
          <w:numId w:val="11"/>
        </w:numPr>
        <w:tabs>
          <w:tab w:val="num" w:pos="720"/>
        </w:tabs>
        <w:spacing w:line="240" w:lineRule="auto"/>
        <w:ind w:left="567" w:hanging="567"/>
        <w:rPr>
          <w:sz w:val="22"/>
          <w:szCs w:val="22"/>
        </w:rPr>
      </w:pPr>
      <w:r w:rsidRPr="00747E4C">
        <w:rPr>
          <w:sz w:val="22"/>
          <w:szCs w:val="22"/>
        </w:rPr>
        <w:t xml:space="preserve">V případě, že </w:t>
      </w:r>
    </w:p>
    <w:p w14:paraId="6559EB46" w14:textId="7412FA9E" w:rsidR="000F7B8B" w:rsidRPr="00747E4C" w:rsidRDefault="000F7B8B" w:rsidP="000F7B8B">
      <w:pPr>
        <w:pStyle w:val="slovanseznam"/>
        <w:numPr>
          <w:ilvl w:val="0"/>
          <w:numId w:val="13"/>
        </w:numPr>
        <w:spacing w:line="240" w:lineRule="auto"/>
        <w:rPr>
          <w:sz w:val="22"/>
          <w:szCs w:val="22"/>
        </w:rPr>
      </w:pPr>
      <w:r w:rsidRPr="00747E4C">
        <w:rPr>
          <w:sz w:val="22"/>
          <w:szCs w:val="22"/>
        </w:rPr>
        <w:t>dojde k porušení povinnosti předložit poskytovateli monitorovací zprávu o realizaci projektu (včetně žádosti o platbu) nebo povinnosti předložit poskytovateli vyžádanou informaci ad hoc (uvedených v části II bodě 5.</w:t>
      </w:r>
      <w:r w:rsidR="00484B95">
        <w:rPr>
          <w:sz w:val="22"/>
          <w:szCs w:val="22"/>
        </w:rPr>
        <w:t>3</w:t>
      </w:r>
      <w:r w:rsidRPr="00747E4C">
        <w:rPr>
          <w:sz w:val="22"/>
          <w:szCs w:val="22"/>
        </w:rPr>
        <w:t xml:space="preserve"> a bodě 9, v části III v bodech 2.</w:t>
      </w:r>
      <w:r w:rsidR="00386DBC">
        <w:rPr>
          <w:sz w:val="22"/>
          <w:szCs w:val="22"/>
        </w:rPr>
        <w:t>3</w:t>
      </w:r>
      <w:r w:rsidRPr="00747E4C">
        <w:rPr>
          <w:sz w:val="22"/>
          <w:szCs w:val="22"/>
        </w:rPr>
        <w:t xml:space="preserve"> až 2.</w:t>
      </w:r>
      <w:r w:rsidR="00386DBC">
        <w:rPr>
          <w:sz w:val="22"/>
          <w:szCs w:val="22"/>
        </w:rPr>
        <w:t>5</w:t>
      </w:r>
      <w:r w:rsidRPr="00747E4C">
        <w:rPr>
          <w:sz w:val="22"/>
          <w:szCs w:val="22"/>
        </w:rPr>
        <w:t>) a prodlení bude trvat 7 kalendářních dní a více, přičemž za určující se bere termín vyplývající z tohoto Rozhodnutí (včetně pravidel NP AMIF, na které se toto Rozhodnutí odkazuje) ve znění případného vyjádření poskytovatele o změně termínu uděleného ředitelem Odpovědného orgánu;</w:t>
      </w:r>
    </w:p>
    <w:p w14:paraId="45A3D5D0" w14:textId="77777777" w:rsidR="000F7B8B" w:rsidRPr="00747E4C" w:rsidRDefault="000F7B8B" w:rsidP="000F7B8B">
      <w:pPr>
        <w:pStyle w:val="slovanseznam"/>
        <w:numPr>
          <w:ilvl w:val="0"/>
          <w:numId w:val="13"/>
        </w:numPr>
        <w:spacing w:line="240" w:lineRule="auto"/>
        <w:rPr>
          <w:sz w:val="22"/>
          <w:szCs w:val="22"/>
        </w:rPr>
      </w:pPr>
      <w:r w:rsidRPr="00747E4C">
        <w:rPr>
          <w:sz w:val="22"/>
          <w:szCs w:val="22"/>
        </w:rPr>
        <w:t xml:space="preserve">dojde k porušení povinností týkajících se oznamovací povinnosti (uvedených v části II bodě 10) a v pravidlech NP AMIF není stanoveno, že příslušné pochybení nezakládá porušení rozpočtové kázně; </w:t>
      </w:r>
    </w:p>
    <w:p w14:paraId="1136BE06" w14:textId="77777777" w:rsidR="000F7B8B" w:rsidRPr="00747E4C" w:rsidRDefault="000F7B8B" w:rsidP="000F7B8B">
      <w:pPr>
        <w:pStyle w:val="slovanseznam"/>
        <w:numPr>
          <w:ilvl w:val="0"/>
          <w:numId w:val="13"/>
        </w:numPr>
        <w:spacing w:line="240" w:lineRule="auto"/>
        <w:rPr>
          <w:sz w:val="22"/>
          <w:szCs w:val="22"/>
        </w:rPr>
      </w:pPr>
      <w:r w:rsidRPr="00747E4C">
        <w:rPr>
          <w:sz w:val="22"/>
          <w:szCs w:val="22"/>
        </w:rPr>
        <w:t>dojde k porušení povinností týkající se vytvoření podmínek pro provedení kontroly (uvedených v části II bodě 7);</w:t>
      </w:r>
    </w:p>
    <w:p w14:paraId="7C24984F" w14:textId="77777777" w:rsidR="000F7B8B" w:rsidRPr="00747E4C" w:rsidRDefault="000F7B8B" w:rsidP="000F7B8B">
      <w:pPr>
        <w:pStyle w:val="slovanseznam"/>
        <w:numPr>
          <w:ilvl w:val="0"/>
          <w:numId w:val="13"/>
        </w:numPr>
        <w:spacing w:line="240" w:lineRule="auto"/>
        <w:rPr>
          <w:sz w:val="22"/>
          <w:szCs w:val="22"/>
        </w:rPr>
      </w:pPr>
      <w:r w:rsidRPr="00747E4C">
        <w:rPr>
          <w:sz w:val="22"/>
          <w:szCs w:val="22"/>
        </w:rPr>
        <w:t>dojde k porušení povinnosti týkající se práv duševního vlastnictví (uvedených v části II bodě 15);</w:t>
      </w:r>
    </w:p>
    <w:p w14:paraId="22F40E61" w14:textId="77777777" w:rsidR="000F7B8B" w:rsidRPr="00747E4C" w:rsidRDefault="000F7B8B" w:rsidP="000F7B8B">
      <w:pPr>
        <w:pStyle w:val="slovanseznam"/>
        <w:numPr>
          <w:ilvl w:val="0"/>
          <w:numId w:val="13"/>
        </w:numPr>
        <w:spacing w:line="240" w:lineRule="auto"/>
        <w:rPr>
          <w:sz w:val="22"/>
          <w:szCs w:val="22"/>
        </w:rPr>
      </w:pPr>
      <w:r w:rsidRPr="008202EC">
        <w:rPr>
          <w:sz w:val="22"/>
          <w:szCs w:val="22"/>
          <w:highlight w:val="yellow"/>
        </w:rPr>
        <w:t>dojde k porušení povinností týkajících se partnerství (uvedených v části II bodech 16.1 a 16.3)</w:t>
      </w:r>
      <w:r w:rsidRPr="00747E4C">
        <w:rPr>
          <w:rStyle w:val="Znakapoznpodarou"/>
          <w:sz w:val="22"/>
          <w:szCs w:val="22"/>
        </w:rPr>
        <w:footnoteReference w:id="6"/>
      </w:r>
      <w:r w:rsidRPr="00747E4C">
        <w:rPr>
          <w:sz w:val="22"/>
          <w:szCs w:val="22"/>
        </w:rPr>
        <w:t>;</w:t>
      </w:r>
    </w:p>
    <w:p w14:paraId="07D86680" w14:textId="77777777" w:rsidR="000F7B8B" w:rsidRPr="00747E4C" w:rsidRDefault="000F7B8B" w:rsidP="000F7B8B">
      <w:pPr>
        <w:pStyle w:val="slovanseznam"/>
        <w:numPr>
          <w:ilvl w:val="0"/>
          <w:numId w:val="13"/>
        </w:numPr>
        <w:spacing w:line="240" w:lineRule="auto"/>
        <w:rPr>
          <w:sz w:val="22"/>
          <w:szCs w:val="22"/>
        </w:rPr>
      </w:pPr>
      <w:r w:rsidRPr="00747E4C">
        <w:rPr>
          <w:sz w:val="22"/>
          <w:szCs w:val="22"/>
        </w:rPr>
        <w:t xml:space="preserve">dojde k porušení povinnosti uchovávat dokumenty (uvedených v části II bodě 13) a není možné stanovit výši dotace, ke které se dokument váže; </w:t>
      </w:r>
    </w:p>
    <w:p w14:paraId="13E0E603" w14:textId="77777777" w:rsidR="000F7B8B" w:rsidRPr="00747E4C" w:rsidRDefault="000F7B8B" w:rsidP="000F7B8B">
      <w:pPr>
        <w:pStyle w:val="slovanseznam"/>
        <w:tabs>
          <w:tab w:val="num" w:pos="-3119"/>
        </w:tabs>
        <w:ind w:left="567"/>
        <w:rPr>
          <w:sz w:val="22"/>
          <w:szCs w:val="22"/>
        </w:rPr>
      </w:pPr>
      <w:r w:rsidRPr="00747E4C">
        <w:rPr>
          <w:sz w:val="22"/>
          <w:szCs w:val="22"/>
        </w:rPr>
        <w:t>bude odvod za porušení rozpočtové kázně vyměřen dle § 44a odst. 4 písm. a) rozpočtových pravidel ve výši 0,5 % z celkové částky dotace. Odvod za porušení rozpočtové kázně přitom nemůže být vyšší než celková částka dotace, která byla vyplacena.</w:t>
      </w:r>
    </w:p>
    <w:p w14:paraId="35E4CCB2" w14:textId="77777777" w:rsidR="000F7B8B" w:rsidRPr="00747E4C" w:rsidRDefault="000F7B8B" w:rsidP="000F7B8B">
      <w:pPr>
        <w:pStyle w:val="slovanseznam"/>
        <w:numPr>
          <w:ilvl w:val="1"/>
          <w:numId w:val="11"/>
        </w:numPr>
        <w:tabs>
          <w:tab w:val="num" w:pos="720"/>
        </w:tabs>
        <w:spacing w:line="240" w:lineRule="auto"/>
        <w:ind w:left="567" w:hanging="567"/>
        <w:rPr>
          <w:sz w:val="22"/>
          <w:szCs w:val="22"/>
        </w:rPr>
      </w:pPr>
      <w:r w:rsidRPr="00747E4C">
        <w:rPr>
          <w:sz w:val="22"/>
          <w:szCs w:val="22"/>
        </w:rPr>
        <w:t>V případě, že dojde k porušení povinností týkajících se zadávání zakázek (uvedených v části II bodě 6.1), jež je dle pravidel NP AMIF považováno za porušení rozpočtové kázně, bude odvod za porušení rozpočtové kázně vyměřen dle § 44a odst. 4 písm. a) rozpočtových pravidel ve výši stanovené za porušení dané povinnosti v příslušné tabulce sankcí pro oblast zadávání obsažené v pravidlech NP AMIF.</w:t>
      </w:r>
    </w:p>
    <w:p w14:paraId="258D86B5" w14:textId="77777777" w:rsidR="000F7B8B" w:rsidRPr="00747E4C" w:rsidRDefault="000F7B8B" w:rsidP="000F7B8B">
      <w:pPr>
        <w:pStyle w:val="slovanseznam"/>
        <w:numPr>
          <w:ilvl w:val="1"/>
          <w:numId w:val="11"/>
        </w:numPr>
        <w:tabs>
          <w:tab w:val="num" w:pos="720"/>
        </w:tabs>
        <w:spacing w:line="240" w:lineRule="auto"/>
        <w:ind w:left="567" w:hanging="567"/>
        <w:rPr>
          <w:sz w:val="22"/>
          <w:szCs w:val="22"/>
        </w:rPr>
      </w:pPr>
      <w:r w:rsidRPr="00747E4C">
        <w:rPr>
          <w:sz w:val="22"/>
          <w:szCs w:val="22"/>
        </w:rPr>
        <w:t xml:space="preserve">V případě, že dojde k porušení povinností týkajících se provádění informačních a komunikačních opatření (uvedených v části II bodě 8), jež je dle pravidel NP AMIF považováno za porušení </w:t>
      </w:r>
      <w:r w:rsidRPr="00747E4C">
        <w:rPr>
          <w:sz w:val="22"/>
          <w:szCs w:val="22"/>
        </w:rPr>
        <w:lastRenderedPageBreak/>
        <w:t>rozpočtové kázně, bude odvod za porušení rozpočtové kázně vyměřen dle § 44a odst. 4 písm. a) rozpočtových pravidel ve výši stanovené za porušení dané povinnosti v příslušné tabulce sankcí pro oblast publicity obsažené v pravidlech NP AMIF.</w:t>
      </w:r>
    </w:p>
    <w:p w14:paraId="41759084" w14:textId="59D9A15F" w:rsidR="000F7B8B" w:rsidRPr="00747E4C" w:rsidRDefault="000F7B8B" w:rsidP="000F7B8B">
      <w:pPr>
        <w:pStyle w:val="slovanseznam"/>
        <w:numPr>
          <w:ilvl w:val="1"/>
          <w:numId w:val="11"/>
        </w:numPr>
        <w:tabs>
          <w:tab w:val="num" w:pos="720"/>
        </w:tabs>
        <w:spacing w:after="240" w:line="240" w:lineRule="auto"/>
        <w:ind w:left="567" w:hanging="567"/>
        <w:rPr>
          <w:sz w:val="22"/>
          <w:szCs w:val="22"/>
        </w:rPr>
      </w:pPr>
      <w:r w:rsidRPr="00747E4C">
        <w:rPr>
          <w:sz w:val="22"/>
          <w:szCs w:val="22"/>
        </w:rPr>
        <w:t>V případě, že do data ukončení realizace projektu nebude dosažena celková cílová hodnota monitorovacích ukazatelů</w:t>
      </w:r>
      <w:r w:rsidR="001A3C54">
        <w:rPr>
          <w:sz w:val="22"/>
          <w:szCs w:val="22"/>
        </w:rPr>
        <w:t xml:space="preserve"> </w:t>
      </w:r>
      <w:r w:rsidRPr="00747E4C">
        <w:rPr>
          <w:sz w:val="22"/>
          <w:szCs w:val="22"/>
        </w:rPr>
        <w:t>výstupů uvedená v části III bodě 2.1, bude dle § 44a odst. 4 písm. a) rozpočtových pravidel vyměřen následující odvod z  částky, ve které byla porušena rozpočtová kázeň (tj. z vyčerpané částky dotace), přičemž odvod za porušení rozpočtové kázně nemůže být vyšší než celková částka dotace, která byla vyplacena.</w:t>
      </w:r>
    </w:p>
    <w:tbl>
      <w:tblPr>
        <w:tblW w:w="0" w:type="auto"/>
        <w:tblInd w:w="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31"/>
        <w:gridCol w:w="3892"/>
      </w:tblGrid>
      <w:tr w:rsidR="000F7B8B" w:rsidRPr="005C4078" w14:paraId="52DFC31E" w14:textId="77777777" w:rsidTr="001536B6">
        <w:tc>
          <w:tcPr>
            <w:tcW w:w="4531" w:type="dxa"/>
          </w:tcPr>
          <w:p w14:paraId="5635EBB9" w14:textId="77777777" w:rsidR="000F7B8B" w:rsidRPr="005C4078" w:rsidRDefault="000F7B8B" w:rsidP="001536B6">
            <w:pPr>
              <w:spacing w:after="60"/>
              <w:rPr>
                <w:rFonts w:cs="Arial"/>
              </w:rPr>
            </w:pPr>
            <w:r w:rsidRPr="005C4078">
              <w:rPr>
                <w:rFonts w:cs="Arial"/>
              </w:rPr>
              <w:t>Celková míra naplnění monitorovacích ukazatelů výstupů uvedených v Žádosti o podporu v Příloze č. 1 tohoto Rozhodnutí</w:t>
            </w:r>
          </w:p>
        </w:tc>
        <w:tc>
          <w:tcPr>
            <w:tcW w:w="3892" w:type="dxa"/>
          </w:tcPr>
          <w:p w14:paraId="6DA0F4E4" w14:textId="77777777" w:rsidR="000F7B8B" w:rsidRPr="005C4078" w:rsidRDefault="000F7B8B" w:rsidP="001536B6">
            <w:pPr>
              <w:spacing w:after="60"/>
              <w:jc w:val="center"/>
              <w:rPr>
                <w:rFonts w:cs="Arial"/>
              </w:rPr>
            </w:pPr>
            <w:r w:rsidRPr="005C4078">
              <w:rPr>
                <w:rFonts w:cs="Arial"/>
              </w:rPr>
              <w:t>Procento odvodu z částky, ve které byla porušena rozpočtová kázeň</w:t>
            </w:r>
          </w:p>
        </w:tc>
      </w:tr>
      <w:tr w:rsidR="000F7B8B" w:rsidRPr="005C4078" w14:paraId="457CB6AB" w14:textId="77777777" w:rsidTr="001536B6">
        <w:tc>
          <w:tcPr>
            <w:tcW w:w="4531" w:type="dxa"/>
            <w:vAlign w:val="center"/>
          </w:tcPr>
          <w:p w14:paraId="6D4D2C23" w14:textId="77777777" w:rsidR="000F7B8B" w:rsidRPr="005C4078" w:rsidRDefault="000F7B8B" w:rsidP="001536B6">
            <w:pPr>
              <w:spacing w:after="60"/>
              <w:rPr>
                <w:rFonts w:cs="Arial"/>
              </w:rPr>
            </w:pPr>
            <w:r w:rsidRPr="005C4078">
              <w:rPr>
                <w:rFonts w:cs="Arial"/>
              </w:rPr>
              <w:t>méně než 85 % až 70 %</w:t>
            </w:r>
          </w:p>
        </w:tc>
        <w:tc>
          <w:tcPr>
            <w:tcW w:w="3892" w:type="dxa"/>
          </w:tcPr>
          <w:p w14:paraId="44A33D8A" w14:textId="77777777" w:rsidR="000F7B8B" w:rsidRPr="005C4078" w:rsidRDefault="000F7B8B" w:rsidP="001536B6">
            <w:pPr>
              <w:pStyle w:val="xl90"/>
              <w:pBdr>
                <w:left w:val="none" w:sz="0" w:space="0" w:color="auto"/>
                <w:bottom w:val="none" w:sz="0" w:space="0" w:color="auto"/>
                <w:right w:val="none" w:sz="0" w:space="0" w:color="auto"/>
              </w:pBdr>
              <w:spacing w:before="0" w:beforeAutospacing="0" w:after="60" w:afterAutospacing="0"/>
              <w:rPr>
                <w:b w:val="0"/>
              </w:rPr>
            </w:pPr>
            <w:r w:rsidRPr="005C4078">
              <w:rPr>
                <w:b w:val="0"/>
              </w:rPr>
              <w:t>15 %</w:t>
            </w:r>
          </w:p>
        </w:tc>
      </w:tr>
      <w:tr w:rsidR="000F7B8B" w:rsidRPr="005C4078" w14:paraId="1FC207E0" w14:textId="77777777" w:rsidTr="001536B6">
        <w:tc>
          <w:tcPr>
            <w:tcW w:w="4531" w:type="dxa"/>
            <w:vAlign w:val="center"/>
          </w:tcPr>
          <w:p w14:paraId="5C78884C" w14:textId="77777777" w:rsidR="000F7B8B" w:rsidRPr="005C4078" w:rsidRDefault="000F7B8B" w:rsidP="001536B6">
            <w:pPr>
              <w:spacing w:after="60"/>
              <w:rPr>
                <w:rFonts w:cs="Arial"/>
              </w:rPr>
            </w:pPr>
            <w:r w:rsidRPr="005C4078">
              <w:rPr>
                <w:rFonts w:cs="Arial"/>
              </w:rPr>
              <w:t>méně než 70 % až 55 %</w:t>
            </w:r>
          </w:p>
        </w:tc>
        <w:tc>
          <w:tcPr>
            <w:tcW w:w="3892" w:type="dxa"/>
          </w:tcPr>
          <w:p w14:paraId="1711C512" w14:textId="77777777" w:rsidR="000F7B8B" w:rsidRPr="005C4078" w:rsidRDefault="000F7B8B" w:rsidP="001536B6">
            <w:pPr>
              <w:spacing w:after="60"/>
              <w:jc w:val="center"/>
              <w:rPr>
                <w:rFonts w:cs="Arial"/>
                <w:bCs/>
              </w:rPr>
            </w:pPr>
            <w:r w:rsidRPr="005C4078">
              <w:rPr>
                <w:rFonts w:cs="Arial"/>
              </w:rPr>
              <w:t>20 %</w:t>
            </w:r>
          </w:p>
        </w:tc>
      </w:tr>
      <w:tr w:rsidR="000F7B8B" w:rsidRPr="005C4078" w14:paraId="2C50AC74" w14:textId="77777777" w:rsidTr="001536B6">
        <w:tc>
          <w:tcPr>
            <w:tcW w:w="4531" w:type="dxa"/>
            <w:vAlign w:val="center"/>
          </w:tcPr>
          <w:p w14:paraId="71B4E906" w14:textId="77777777" w:rsidR="000F7B8B" w:rsidRPr="005C4078" w:rsidRDefault="000F7B8B" w:rsidP="001536B6">
            <w:pPr>
              <w:spacing w:after="60"/>
              <w:rPr>
                <w:rFonts w:cs="Arial"/>
              </w:rPr>
            </w:pPr>
            <w:r w:rsidRPr="005C4078">
              <w:rPr>
                <w:rFonts w:cs="Arial"/>
              </w:rPr>
              <w:t>méně než 55 % až 40 %</w:t>
            </w:r>
          </w:p>
        </w:tc>
        <w:tc>
          <w:tcPr>
            <w:tcW w:w="3892" w:type="dxa"/>
          </w:tcPr>
          <w:p w14:paraId="445C846A" w14:textId="77777777" w:rsidR="000F7B8B" w:rsidRPr="005C4078" w:rsidRDefault="000F7B8B" w:rsidP="001536B6">
            <w:pPr>
              <w:spacing w:after="60"/>
              <w:jc w:val="center"/>
              <w:rPr>
                <w:rFonts w:cs="Arial"/>
                <w:bCs/>
              </w:rPr>
            </w:pPr>
            <w:r w:rsidRPr="005C4078">
              <w:rPr>
                <w:rFonts w:cs="Arial"/>
              </w:rPr>
              <w:t>30 %</w:t>
            </w:r>
          </w:p>
        </w:tc>
      </w:tr>
      <w:tr w:rsidR="000F7B8B" w:rsidRPr="005C4078" w14:paraId="1760EACC" w14:textId="77777777" w:rsidTr="001536B6">
        <w:tc>
          <w:tcPr>
            <w:tcW w:w="4531" w:type="dxa"/>
            <w:vAlign w:val="center"/>
          </w:tcPr>
          <w:p w14:paraId="2DF49EBB" w14:textId="77777777" w:rsidR="000F7B8B" w:rsidRPr="005C4078" w:rsidRDefault="000F7B8B" w:rsidP="001536B6">
            <w:pPr>
              <w:spacing w:after="60"/>
              <w:rPr>
                <w:rFonts w:cs="Arial"/>
              </w:rPr>
            </w:pPr>
            <w:r w:rsidRPr="005C4078">
              <w:rPr>
                <w:rFonts w:cs="Arial"/>
              </w:rPr>
              <w:t>méně než 40 %</w:t>
            </w:r>
          </w:p>
        </w:tc>
        <w:tc>
          <w:tcPr>
            <w:tcW w:w="3892" w:type="dxa"/>
          </w:tcPr>
          <w:p w14:paraId="1C7A3571" w14:textId="77777777" w:rsidR="000F7B8B" w:rsidRPr="005C4078" w:rsidRDefault="000F7B8B" w:rsidP="001536B6">
            <w:pPr>
              <w:spacing w:after="60"/>
              <w:jc w:val="center"/>
              <w:rPr>
                <w:rFonts w:cs="Arial"/>
                <w:bCs/>
              </w:rPr>
            </w:pPr>
            <w:r w:rsidRPr="005C4078">
              <w:rPr>
                <w:rFonts w:cs="Arial"/>
              </w:rPr>
              <w:t>50 %</w:t>
            </w:r>
          </w:p>
        </w:tc>
      </w:tr>
    </w:tbl>
    <w:p w14:paraId="4625EE0F" w14:textId="77777777" w:rsidR="005C320F" w:rsidRDefault="000F7B8B" w:rsidP="000F7B8B">
      <w:pPr>
        <w:pStyle w:val="slovanseznam"/>
        <w:tabs>
          <w:tab w:val="num" w:pos="1478"/>
        </w:tabs>
        <w:spacing w:before="120"/>
        <w:ind w:left="567"/>
        <w:rPr>
          <w:sz w:val="22"/>
          <w:szCs w:val="22"/>
        </w:rPr>
      </w:pPr>
      <w:r w:rsidRPr="00747E4C">
        <w:rPr>
          <w:sz w:val="22"/>
          <w:szCs w:val="22"/>
        </w:rPr>
        <w:t>V případě, že aktuálně platná pravidla NP AMIF stanoví míru naplnění monitorovacích ukazatelů výsledků mírněji než toto Rozhodnutí, uplatní se míra naplnění dle aktuálně platných pravidel, včetně příp. sankcí za nesplnění.</w:t>
      </w:r>
    </w:p>
    <w:p w14:paraId="6648FC43" w14:textId="05C276E3" w:rsidR="009D398F" w:rsidRDefault="001A00CF" w:rsidP="001972C8">
      <w:pPr>
        <w:pStyle w:val="slovanseznam"/>
        <w:numPr>
          <w:ilvl w:val="1"/>
          <w:numId w:val="11"/>
        </w:numPr>
        <w:tabs>
          <w:tab w:val="num" w:pos="720"/>
        </w:tabs>
        <w:spacing w:after="240" w:line="240" w:lineRule="auto"/>
        <w:ind w:left="567" w:hanging="567"/>
        <w:rPr>
          <w:sz w:val="22"/>
          <w:szCs w:val="22"/>
        </w:rPr>
      </w:pPr>
      <w:r>
        <w:rPr>
          <w:sz w:val="22"/>
          <w:szCs w:val="22"/>
        </w:rPr>
        <w:t xml:space="preserve">V případě, že </w:t>
      </w:r>
      <w:r w:rsidR="009D398F">
        <w:rPr>
          <w:sz w:val="22"/>
          <w:szCs w:val="22"/>
        </w:rPr>
        <w:t xml:space="preserve">podíl </w:t>
      </w:r>
      <w:r w:rsidR="00D476E0">
        <w:rPr>
          <w:sz w:val="22"/>
          <w:szCs w:val="22"/>
        </w:rPr>
        <w:t xml:space="preserve">dosažené hodnoty </w:t>
      </w:r>
      <w:r w:rsidR="009D398F">
        <w:rPr>
          <w:sz w:val="22"/>
          <w:szCs w:val="22"/>
        </w:rPr>
        <w:t xml:space="preserve">ukazatele </w:t>
      </w:r>
      <w:r w:rsidR="00D476E0">
        <w:rPr>
          <w:sz w:val="22"/>
          <w:szCs w:val="22"/>
        </w:rPr>
        <w:t>EU1</w:t>
      </w:r>
      <w:r w:rsidR="00CD1B83">
        <w:rPr>
          <w:sz w:val="22"/>
          <w:szCs w:val="22"/>
        </w:rPr>
        <w:t xml:space="preserve"> k</w:t>
      </w:r>
      <w:r w:rsidR="00A467C5">
        <w:rPr>
          <w:sz w:val="22"/>
          <w:szCs w:val="22"/>
        </w:rPr>
        <w:t> součtu dosažených hodnot</w:t>
      </w:r>
      <w:r w:rsidR="00D476E0">
        <w:rPr>
          <w:sz w:val="22"/>
          <w:szCs w:val="22"/>
        </w:rPr>
        <w:t xml:space="preserve"> </w:t>
      </w:r>
      <w:r w:rsidR="009D398F">
        <w:rPr>
          <w:sz w:val="22"/>
          <w:szCs w:val="22"/>
        </w:rPr>
        <w:t>ukazatel</w:t>
      </w:r>
      <w:r w:rsidR="00A467C5">
        <w:rPr>
          <w:sz w:val="22"/>
          <w:szCs w:val="22"/>
        </w:rPr>
        <w:t xml:space="preserve">ů EU1 a </w:t>
      </w:r>
      <w:r w:rsidR="00D476E0">
        <w:rPr>
          <w:sz w:val="22"/>
          <w:szCs w:val="22"/>
        </w:rPr>
        <w:t>SO2C2</w:t>
      </w:r>
      <w:r w:rsidR="009D398F">
        <w:rPr>
          <w:sz w:val="22"/>
          <w:szCs w:val="22"/>
        </w:rPr>
        <w:t xml:space="preserve"> </w:t>
      </w:r>
      <w:r w:rsidR="00D476E0">
        <w:rPr>
          <w:sz w:val="22"/>
          <w:szCs w:val="22"/>
        </w:rPr>
        <w:t xml:space="preserve">k 28. 2. 2022 </w:t>
      </w:r>
      <w:r w:rsidR="009D398F">
        <w:rPr>
          <w:sz w:val="22"/>
          <w:szCs w:val="22"/>
        </w:rPr>
        <w:t xml:space="preserve">překročí </w:t>
      </w:r>
      <w:r w:rsidR="00A467C5">
        <w:rPr>
          <w:sz w:val="22"/>
          <w:szCs w:val="22"/>
        </w:rPr>
        <w:t>10 %</w:t>
      </w:r>
      <w:r>
        <w:rPr>
          <w:sz w:val="22"/>
          <w:szCs w:val="22"/>
        </w:rPr>
        <w:t xml:space="preserve"> </w:t>
      </w:r>
      <w:r w:rsidR="009D398F" w:rsidRPr="00747E4C">
        <w:rPr>
          <w:sz w:val="22"/>
          <w:szCs w:val="22"/>
        </w:rPr>
        <w:t>bude dle § 44a odst. 4 písm. a) rozpočtových pravidel vyměřen následující odvod z  částky, ve které byla porušena rozpočtová kázeň (tj. z vyčerpané částky dotace</w:t>
      </w:r>
      <w:r w:rsidR="009D398F">
        <w:rPr>
          <w:sz w:val="22"/>
          <w:szCs w:val="22"/>
        </w:rPr>
        <w:t xml:space="preserve"> odpovídající období 1. 1. 2021 – 28. 2. 2022</w:t>
      </w:r>
      <w:r w:rsidR="009D398F" w:rsidRPr="00747E4C">
        <w:rPr>
          <w:sz w:val="22"/>
          <w:szCs w:val="22"/>
        </w:rPr>
        <w:t>), přičemž odvod za porušení rozpočtové kázně nemůže být vyšší než celková částka dotace, která byla vyplacena.</w:t>
      </w:r>
      <w:r w:rsidR="009D398F">
        <w:rPr>
          <w:sz w:val="22"/>
          <w:szCs w:val="22"/>
        </w:rPr>
        <w:t xml:space="preserve"> Výše odvodu bude spočítána následujícím způsobem:</w:t>
      </w:r>
    </w:p>
    <w:p w14:paraId="1902890F" w14:textId="67C50A92" w:rsidR="009D398F" w:rsidRPr="001972C8" w:rsidRDefault="009D398F" w:rsidP="001972C8">
      <w:pPr>
        <w:tabs>
          <w:tab w:val="num" w:pos="1478"/>
        </w:tabs>
        <w:spacing w:before="120"/>
        <w:ind w:left="567"/>
        <w:rPr>
          <w:rFonts w:cs="Arial"/>
        </w:rPr>
      </w:pPr>
      <w:r w:rsidRPr="001972C8">
        <w:rPr>
          <w:rFonts w:cs="Arial"/>
        </w:rPr>
        <w:t xml:space="preserve">X = </w:t>
      </w:r>
      <w:r w:rsidR="00B8671A">
        <w:rPr>
          <w:rFonts w:cs="Arial"/>
        </w:rPr>
        <w:t>dosažená hodnota ukazatele SO2C2</w:t>
      </w:r>
      <w:r w:rsidR="006F4F13">
        <w:rPr>
          <w:rFonts w:cs="Arial"/>
        </w:rPr>
        <w:t xml:space="preserve"> za období 1. 1. 2021 – 28. 2. 2022</w:t>
      </w:r>
    </w:p>
    <w:p w14:paraId="1150BB73" w14:textId="782DB548" w:rsidR="009D398F" w:rsidRPr="001972C8" w:rsidRDefault="009D398F" w:rsidP="001972C8">
      <w:pPr>
        <w:tabs>
          <w:tab w:val="num" w:pos="1478"/>
        </w:tabs>
        <w:spacing w:before="120"/>
        <w:ind w:left="567"/>
        <w:rPr>
          <w:rFonts w:cs="Arial"/>
        </w:rPr>
      </w:pPr>
      <w:r w:rsidRPr="001972C8">
        <w:rPr>
          <w:rFonts w:cs="Arial"/>
        </w:rPr>
        <w:t xml:space="preserve">Y = </w:t>
      </w:r>
      <w:r w:rsidR="00B8671A">
        <w:rPr>
          <w:rFonts w:cs="Arial"/>
        </w:rPr>
        <w:t>dosažená hodnota ukazatele EU1</w:t>
      </w:r>
      <w:r w:rsidR="006F4F13">
        <w:rPr>
          <w:rFonts w:cs="Arial"/>
        </w:rPr>
        <w:t xml:space="preserve"> za období 1. 1. 2021 – 28. 2. 2022</w:t>
      </w:r>
    </w:p>
    <w:p w14:paraId="6133EAB1" w14:textId="77777777" w:rsidR="009D398F" w:rsidRDefault="009D398F" w:rsidP="009D398F">
      <w:pPr>
        <w:pStyle w:val="slovanseznam"/>
        <w:tabs>
          <w:tab w:val="num" w:pos="1478"/>
        </w:tabs>
        <w:spacing w:before="120"/>
        <w:ind w:left="567"/>
        <w:rPr>
          <w:sz w:val="22"/>
          <w:szCs w:val="22"/>
        </w:rPr>
      </w:pPr>
      <w:r w:rsidRPr="001972C8">
        <w:rPr>
          <w:sz w:val="22"/>
          <w:szCs w:val="22"/>
        </w:rPr>
        <w:t xml:space="preserve">Z = celkové způsobilé výdaje projektu </w:t>
      </w:r>
      <w:r w:rsidR="009501B0">
        <w:rPr>
          <w:sz w:val="22"/>
          <w:szCs w:val="22"/>
        </w:rPr>
        <w:t>za období 1. 1. 2021 – 28. 2. 2022</w:t>
      </w:r>
    </w:p>
    <w:p w14:paraId="1FBF5FD2" w14:textId="3A58B0ED" w:rsidR="009D398F" w:rsidRPr="009D398F" w:rsidRDefault="009D398F" w:rsidP="009D398F">
      <w:pPr>
        <w:pStyle w:val="slovanseznam"/>
        <w:tabs>
          <w:tab w:val="num" w:pos="1478"/>
        </w:tabs>
        <w:spacing w:before="120"/>
        <w:ind w:left="567"/>
        <w:rPr>
          <w:sz w:val="22"/>
          <w:szCs w:val="22"/>
        </w:rPr>
      </w:pPr>
      <w:r>
        <w:rPr>
          <w:sz w:val="22"/>
          <w:szCs w:val="22"/>
        </w:rPr>
        <w:t xml:space="preserve">Výše odvodu = </w:t>
      </w:r>
      <w:r w:rsidRPr="001972C8">
        <w:rPr>
          <w:sz w:val="22"/>
          <w:szCs w:val="22"/>
        </w:rPr>
        <w:t>Z/(X+Y)*(Y-X/</w:t>
      </w:r>
      <w:r w:rsidR="005C320F">
        <w:rPr>
          <w:sz w:val="22"/>
          <w:szCs w:val="22"/>
        </w:rPr>
        <w:t>9</w:t>
      </w:r>
      <w:r w:rsidRPr="001972C8">
        <w:rPr>
          <w:sz w:val="22"/>
          <w:szCs w:val="22"/>
        </w:rPr>
        <w:t>)</w:t>
      </w:r>
    </w:p>
    <w:p w14:paraId="7BF5F73E" w14:textId="62FCD573" w:rsidR="006F4F13" w:rsidRDefault="009609B3" w:rsidP="006F4F13">
      <w:pPr>
        <w:pStyle w:val="slovanseznam"/>
        <w:numPr>
          <w:ilvl w:val="1"/>
          <w:numId w:val="11"/>
        </w:numPr>
        <w:tabs>
          <w:tab w:val="num" w:pos="720"/>
        </w:tabs>
        <w:spacing w:after="240" w:line="240" w:lineRule="auto"/>
        <w:ind w:left="567" w:hanging="567"/>
        <w:rPr>
          <w:sz w:val="22"/>
          <w:szCs w:val="22"/>
        </w:rPr>
      </w:pPr>
      <w:r>
        <w:rPr>
          <w:sz w:val="22"/>
          <w:szCs w:val="22"/>
        </w:rPr>
        <w:t>V případě, že podíl dosažené hodnoty ukazatele EU1 k součtu dosažených hodnot ukazatelů EU1 a SO2C2</w:t>
      </w:r>
      <w:r w:rsidR="006F4F13">
        <w:rPr>
          <w:sz w:val="22"/>
          <w:szCs w:val="22"/>
        </w:rPr>
        <w:t xml:space="preserve"> za období 1. 3. 2022 – 31. 12. 2022 překročí </w:t>
      </w:r>
      <w:r>
        <w:rPr>
          <w:sz w:val="22"/>
          <w:szCs w:val="22"/>
        </w:rPr>
        <w:t>10 %</w:t>
      </w:r>
      <w:r w:rsidR="006F4F13">
        <w:rPr>
          <w:sz w:val="22"/>
          <w:szCs w:val="22"/>
        </w:rPr>
        <w:t xml:space="preserve"> </w:t>
      </w:r>
      <w:r w:rsidR="006F4F13" w:rsidRPr="00747E4C">
        <w:rPr>
          <w:sz w:val="22"/>
          <w:szCs w:val="22"/>
        </w:rPr>
        <w:t>bude dle § 44a odst. 4 písm. a) rozpočtových pravidel vyměřen následující odvod z  částky, ve které byla porušena rozpočtová kázeň (tj. z vyčerpané částky dotace</w:t>
      </w:r>
      <w:r w:rsidR="006F4F13">
        <w:rPr>
          <w:sz w:val="22"/>
          <w:szCs w:val="22"/>
        </w:rPr>
        <w:t xml:space="preserve"> odpovídající období 11. 3. 2022 – 31. 12. 2022</w:t>
      </w:r>
      <w:r w:rsidR="006F4F13" w:rsidRPr="00747E4C">
        <w:rPr>
          <w:sz w:val="22"/>
          <w:szCs w:val="22"/>
        </w:rPr>
        <w:t>), přičemž odvod za porušení rozpočtové kázně nemůže být vyšší než celková částka dotace, která byla vyplacena.</w:t>
      </w:r>
      <w:r w:rsidR="006F4F13">
        <w:rPr>
          <w:sz w:val="22"/>
          <w:szCs w:val="22"/>
        </w:rPr>
        <w:t xml:space="preserve"> Výše odvodu bude spočítána následujícím způsobem:</w:t>
      </w:r>
    </w:p>
    <w:p w14:paraId="261AFBC3" w14:textId="0FBF7974" w:rsidR="006F4F13" w:rsidRPr="00A27163" w:rsidRDefault="006F4F13" w:rsidP="006F4F13">
      <w:pPr>
        <w:tabs>
          <w:tab w:val="num" w:pos="1478"/>
        </w:tabs>
        <w:spacing w:before="120"/>
        <w:ind w:left="567"/>
        <w:rPr>
          <w:rFonts w:cs="Arial"/>
        </w:rPr>
      </w:pPr>
      <w:r w:rsidRPr="00A27163">
        <w:rPr>
          <w:rFonts w:cs="Arial"/>
        </w:rPr>
        <w:t xml:space="preserve">X = </w:t>
      </w:r>
      <w:r>
        <w:rPr>
          <w:rFonts w:cs="Arial"/>
        </w:rPr>
        <w:t xml:space="preserve">dosažená hodnota ukazatele SO2C2 za období </w:t>
      </w:r>
      <w:r>
        <w:t>1. 3. 2022 – 31. 12. 2022</w:t>
      </w:r>
    </w:p>
    <w:p w14:paraId="74393397" w14:textId="54F81952" w:rsidR="006F4F13" w:rsidRPr="00A27163" w:rsidRDefault="006F4F13" w:rsidP="006F4F13">
      <w:pPr>
        <w:tabs>
          <w:tab w:val="num" w:pos="1478"/>
        </w:tabs>
        <w:spacing w:before="120"/>
        <w:ind w:left="567"/>
        <w:rPr>
          <w:rFonts w:cs="Arial"/>
        </w:rPr>
      </w:pPr>
      <w:r w:rsidRPr="00A27163">
        <w:rPr>
          <w:rFonts w:cs="Arial"/>
        </w:rPr>
        <w:t xml:space="preserve">Y = </w:t>
      </w:r>
      <w:r>
        <w:rPr>
          <w:rFonts w:cs="Arial"/>
        </w:rPr>
        <w:t xml:space="preserve">dosažená hodnota ukazatele EU1 za období </w:t>
      </w:r>
      <w:r>
        <w:t>1. 3. 2022 – 31. 12. 2022</w:t>
      </w:r>
    </w:p>
    <w:p w14:paraId="517D1A32" w14:textId="1453BA6D" w:rsidR="006F4F13" w:rsidRDefault="006F4F13" w:rsidP="006F4F13">
      <w:pPr>
        <w:pStyle w:val="slovanseznam"/>
        <w:tabs>
          <w:tab w:val="num" w:pos="1478"/>
        </w:tabs>
        <w:spacing w:before="120"/>
        <w:ind w:left="567"/>
        <w:rPr>
          <w:sz w:val="22"/>
          <w:szCs w:val="22"/>
        </w:rPr>
      </w:pPr>
      <w:r w:rsidRPr="00A27163">
        <w:rPr>
          <w:sz w:val="22"/>
          <w:szCs w:val="22"/>
        </w:rPr>
        <w:t xml:space="preserve">Z = celkové způsobilé výdaje projektu </w:t>
      </w:r>
      <w:r>
        <w:rPr>
          <w:sz w:val="22"/>
          <w:szCs w:val="22"/>
        </w:rPr>
        <w:t>za období 1. 3. 2022 – 31. 12. 2022</w:t>
      </w:r>
    </w:p>
    <w:p w14:paraId="61B2263B" w14:textId="6C160B70" w:rsidR="009D398F" w:rsidRDefault="006F4F13" w:rsidP="006F4F13">
      <w:pPr>
        <w:pStyle w:val="slovanseznam"/>
        <w:tabs>
          <w:tab w:val="num" w:pos="1478"/>
        </w:tabs>
        <w:spacing w:before="120"/>
        <w:ind w:left="567"/>
        <w:rPr>
          <w:sz w:val="22"/>
          <w:szCs w:val="22"/>
        </w:rPr>
      </w:pPr>
      <w:r>
        <w:rPr>
          <w:sz w:val="22"/>
          <w:szCs w:val="22"/>
        </w:rPr>
        <w:t xml:space="preserve">Výše odvodu = </w:t>
      </w:r>
      <w:r w:rsidR="009609B3" w:rsidRPr="00807A73">
        <w:rPr>
          <w:sz w:val="22"/>
          <w:szCs w:val="22"/>
        </w:rPr>
        <w:t>Z/(X+Y)*(Y-X/</w:t>
      </w:r>
      <w:r w:rsidR="005C320F">
        <w:rPr>
          <w:sz w:val="22"/>
          <w:szCs w:val="22"/>
        </w:rPr>
        <w:t>9</w:t>
      </w:r>
      <w:r w:rsidR="009609B3" w:rsidRPr="00807A73">
        <w:rPr>
          <w:sz w:val="22"/>
          <w:szCs w:val="22"/>
        </w:rPr>
        <w:t>)</w:t>
      </w:r>
    </w:p>
    <w:p w14:paraId="24C1B097" w14:textId="2E0D515A" w:rsidR="005C320F" w:rsidRPr="009D398F" w:rsidRDefault="005C320F" w:rsidP="001972C8">
      <w:pPr>
        <w:pStyle w:val="slovanseznam"/>
        <w:tabs>
          <w:tab w:val="num" w:pos="1478"/>
        </w:tabs>
        <w:spacing w:before="120"/>
        <w:rPr>
          <w:sz w:val="22"/>
          <w:szCs w:val="22"/>
        </w:rPr>
      </w:pPr>
    </w:p>
    <w:p w14:paraId="0A71990D" w14:textId="77777777" w:rsidR="000F7B8B" w:rsidRPr="00747E4C" w:rsidRDefault="000F7B8B" w:rsidP="000F7B8B">
      <w:pPr>
        <w:pStyle w:val="slovanseznam"/>
        <w:numPr>
          <w:ilvl w:val="0"/>
          <w:numId w:val="11"/>
        </w:numPr>
        <w:spacing w:before="240" w:line="240" w:lineRule="auto"/>
        <w:rPr>
          <w:b/>
          <w:bCs/>
          <w:sz w:val="22"/>
          <w:szCs w:val="22"/>
        </w:rPr>
      </w:pPr>
      <w:r w:rsidRPr="00747E4C">
        <w:rPr>
          <w:b/>
          <w:bCs/>
          <w:sz w:val="22"/>
          <w:szCs w:val="22"/>
        </w:rPr>
        <w:lastRenderedPageBreak/>
        <w:t>Porušení povinností, jež není porušením rozpočtové kázně</w:t>
      </w:r>
      <w:r w:rsidRPr="00747E4C">
        <w:rPr>
          <w:b/>
          <w:sz w:val="22"/>
          <w:szCs w:val="22"/>
          <w:vertAlign w:val="superscript"/>
        </w:rPr>
        <w:footnoteReference w:id="7"/>
      </w:r>
    </w:p>
    <w:p w14:paraId="4309459D" w14:textId="77777777" w:rsidR="000F7B8B" w:rsidRPr="00747E4C" w:rsidRDefault="000F7B8B" w:rsidP="000F7B8B">
      <w:pPr>
        <w:pStyle w:val="slovanseznam"/>
        <w:numPr>
          <w:ilvl w:val="1"/>
          <w:numId w:val="11"/>
        </w:numPr>
        <w:tabs>
          <w:tab w:val="num" w:pos="720"/>
        </w:tabs>
        <w:spacing w:after="60" w:line="240" w:lineRule="auto"/>
        <w:ind w:left="567" w:hanging="567"/>
        <w:rPr>
          <w:sz w:val="22"/>
          <w:szCs w:val="22"/>
        </w:rPr>
      </w:pPr>
      <w:r w:rsidRPr="00747E4C">
        <w:rPr>
          <w:sz w:val="22"/>
          <w:szCs w:val="22"/>
        </w:rPr>
        <w:t xml:space="preserve">V případě, že </w:t>
      </w:r>
    </w:p>
    <w:p w14:paraId="55C07339" w14:textId="62A9FC07" w:rsidR="000F7B8B" w:rsidRPr="00747E4C" w:rsidRDefault="000F7B8B" w:rsidP="000F7B8B">
      <w:pPr>
        <w:pStyle w:val="slovanseznam"/>
        <w:numPr>
          <w:ilvl w:val="0"/>
          <w:numId w:val="13"/>
        </w:numPr>
        <w:spacing w:line="240" w:lineRule="auto"/>
        <w:rPr>
          <w:sz w:val="22"/>
          <w:szCs w:val="22"/>
        </w:rPr>
      </w:pPr>
      <w:r w:rsidRPr="00747E4C">
        <w:rPr>
          <w:sz w:val="22"/>
          <w:szCs w:val="22"/>
        </w:rPr>
        <w:t>dojde k porušení povinnosti předložit poskytovateli monitorovací zprávu o realizaci projektu (včetně žádosti o platbu) nebo povinnosti předložit poskytovateli vyžádanou informaci ad hoc (uvedených v části II bodě 5.</w:t>
      </w:r>
      <w:r w:rsidR="00484B95">
        <w:rPr>
          <w:sz w:val="22"/>
          <w:szCs w:val="22"/>
        </w:rPr>
        <w:t>3</w:t>
      </w:r>
      <w:r w:rsidRPr="00747E4C">
        <w:rPr>
          <w:sz w:val="22"/>
          <w:szCs w:val="22"/>
        </w:rPr>
        <w:t xml:space="preserve"> a bodě 9, v části III v bodech 2.</w:t>
      </w:r>
      <w:r w:rsidR="00386DBC">
        <w:rPr>
          <w:sz w:val="22"/>
          <w:szCs w:val="22"/>
        </w:rPr>
        <w:t>3</w:t>
      </w:r>
      <w:r w:rsidRPr="00747E4C">
        <w:rPr>
          <w:sz w:val="22"/>
          <w:szCs w:val="22"/>
        </w:rPr>
        <w:t xml:space="preserve"> až 2.</w:t>
      </w:r>
      <w:r w:rsidR="00386DBC">
        <w:rPr>
          <w:sz w:val="22"/>
          <w:szCs w:val="22"/>
        </w:rPr>
        <w:t>5</w:t>
      </w:r>
      <w:r w:rsidRPr="00747E4C">
        <w:rPr>
          <w:sz w:val="22"/>
          <w:szCs w:val="22"/>
        </w:rPr>
        <w:t>) a prodlení bude trvat méně než 7 kalendářních dní, přičemž za určující se bere termín vyplývající z tohoto Rozhodnutí ve znění případného vyjádření poskytovatele o změně termínu;</w:t>
      </w:r>
    </w:p>
    <w:p w14:paraId="53112DB8" w14:textId="77777777" w:rsidR="000F7B8B" w:rsidRPr="00747E4C" w:rsidRDefault="000F7B8B" w:rsidP="000F7B8B">
      <w:pPr>
        <w:pStyle w:val="slovanseznam"/>
        <w:numPr>
          <w:ilvl w:val="0"/>
          <w:numId w:val="13"/>
        </w:numPr>
        <w:spacing w:line="240" w:lineRule="auto"/>
        <w:rPr>
          <w:sz w:val="22"/>
          <w:szCs w:val="22"/>
        </w:rPr>
      </w:pPr>
      <w:r w:rsidRPr="00747E4C">
        <w:rPr>
          <w:sz w:val="22"/>
          <w:szCs w:val="22"/>
        </w:rPr>
        <w:t>dojde k porušení povinností předložit poskytovateli monitorovací zprávu o realizaci projektu (včetně žádosti o platbu; uvedených v části II bodě 5.</w:t>
      </w:r>
      <w:r w:rsidR="00484B95">
        <w:rPr>
          <w:sz w:val="22"/>
          <w:szCs w:val="22"/>
        </w:rPr>
        <w:t>3</w:t>
      </w:r>
      <w:r w:rsidRPr="00747E4C">
        <w:rPr>
          <w:sz w:val="22"/>
          <w:szCs w:val="22"/>
        </w:rPr>
        <w:t>) a prodlení je způsobeno tím, že příjemce nemohl z důvodu prokazatelně doložitelných monitorovací zprávu o realizaci projektu nebo žádost o platbu předložit;</w:t>
      </w:r>
    </w:p>
    <w:p w14:paraId="5513C7C8" w14:textId="77777777" w:rsidR="000F7B8B" w:rsidRPr="00747E4C" w:rsidRDefault="000F7B8B" w:rsidP="000F7B8B">
      <w:pPr>
        <w:pStyle w:val="slovanseznam"/>
        <w:numPr>
          <w:ilvl w:val="0"/>
          <w:numId w:val="13"/>
        </w:numPr>
        <w:spacing w:line="240" w:lineRule="auto"/>
        <w:rPr>
          <w:sz w:val="22"/>
          <w:szCs w:val="22"/>
        </w:rPr>
      </w:pPr>
      <w:r w:rsidRPr="00747E4C">
        <w:rPr>
          <w:sz w:val="22"/>
          <w:szCs w:val="22"/>
        </w:rPr>
        <w:t xml:space="preserve">dojde k porušení povinností týkajících se oznamovací povinnosti (uvedených v části II bodě 10), včetně oznamování nepodstatných změn a v pravidlech NP AMIF je pro dané pochybení stanoveno, že nezakládá porušení rozpočtové kázně; </w:t>
      </w:r>
    </w:p>
    <w:p w14:paraId="72E4189F" w14:textId="77777777" w:rsidR="000F7B8B" w:rsidRPr="00747E4C" w:rsidRDefault="000F7B8B" w:rsidP="000F7B8B">
      <w:pPr>
        <w:pStyle w:val="slovanseznam"/>
        <w:numPr>
          <w:ilvl w:val="0"/>
          <w:numId w:val="13"/>
        </w:numPr>
        <w:spacing w:line="240" w:lineRule="auto"/>
        <w:rPr>
          <w:sz w:val="22"/>
          <w:szCs w:val="22"/>
        </w:rPr>
      </w:pPr>
      <w:r w:rsidRPr="00747E4C">
        <w:rPr>
          <w:sz w:val="22"/>
          <w:szCs w:val="22"/>
        </w:rPr>
        <w:t>dojde k porušení povinností týkajících se zadávání zakázek (uvedených v části II bodě 6.1), jež dle pravidel NP AMIF není považováno za porušení rozpočtové kázně, nebo dojde k porušení povinností uvedených v části II bodě 6.2,</w:t>
      </w:r>
    </w:p>
    <w:p w14:paraId="33918B37" w14:textId="77777777" w:rsidR="000F7B8B" w:rsidRPr="00747E4C" w:rsidRDefault="000F7B8B" w:rsidP="000F7B8B">
      <w:pPr>
        <w:pStyle w:val="slovanseznam"/>
        <w:numPr>
          <w:ilvl w:val="0"/>
          <w:numId w:val="13"/>
        </w:numPr>
        <w:spacing w:line="240" w:lineRule="auto"/>
        <w:rPr>
          <w:sz w:val="22"/>
          <w:szCs w:val="22"/>
        </w:rPr>
      </w:pPr>
      <w:r w:rsidRPr="00747E4C">
        <w:rPr>
          <w:sz w:val="22"/>
          <w:szCs w:val="22"/>
        </w:rPr>
        <w:t>dojde k porušení povinností týkajících se provádění informačních a komunikačních opatření (uvedených v části II bodě 8), jež dle pravidel NP AMIF není považováno za porušení rozpočtové kázně,</w:t>
      </w:r>
    </w:p>
    <w:p w14:paraId="719695C5" w14:textId="77777777" w:rsidR="000F7B8B" w:rsidRPr="00747E4C" w:rsidRDefault="000F7B8B" w:rsidP="000F7B8B">
      <w:pPr>
        <w:pStyle w:val="slovanseznam"/>
        <w:numPr>
          <w:ilvl w:val="0"/>
          <w:numId w:val="13"/>
        </w:numPr>
        <w:spacing w:line="240" w:lineRule="auto"/>
        <w:rPr>
          <w:sz w:val="22"/>
          <w:szCs w:val="22"/>
        </w:rPr>
      </w:pPr>
      <w:r w:rsidRPr="00747E4C">
        <w:rPr>
          <w:sz w:val="22"/>
          <w:szCs w:val="22"/>
        </w:rPr>
        <w:t xml:space="preserve">bude splněna cílová hodnota monitorovacích ukazatelů výstupů uvedených v Žádosti o podporu v Příloze č. 1 tohoto Rozhodnutí z 85 % nebo více, </w:t>
      </w:r>
    </w:p>
    <w:p w14:paraId="38FC89C6" w14:textId="77777777" w:rsidR="000F7B8B" w:rsidRPr="00747E4C" w:rsidRDefault="000F7B8B" w:rsidP="000F7B8B">
      <w:pPr>
        <w:pStyle w:val="slovanseznam"/>
        <w:numPr>
          <w:ilvl w:val="0"/>
          <w:numId w:val="13"/>
        </w:numPr>
        <w:spacing w:line="240" w:lineRule="auto"/>
        <w:rPr>
          <w:sz w:val="22"/>
          <w:szCs w:val="22"/>
        </w:rPr>
      </w:pPr>
      <w:r w:rsidRPr="00747E4C">
        <w:rPr>
          <w:sz w:val="22"/>
          <w:szCs w:val="22"/>
        </w:rPr>
        <w:t xml:space="preserve">dojde k nedodržení finančního plánu projektu obsaženého v Příloze č. </w:t>
      </w:r>
      <w:r w:rsidR="00616E76">
        <w:rPr>
          <w:sz w:val="22"/>
          <w:szCs w:val="22"/>
        </w:rPr>
        <w:t>2</w:t>
      </w:r>
      <w:r w:rsidRPr="00747E4C">
        <w:rPr>
          <w:sz w:val="22"/>
          <w:szCs w:val="22"/>
        </w:rPr>
        <w:t xml:space="preserve"> tohoto Rozhodnutí, příp. upraveného v režimu nepodstatných změn projektu,</w:t>
      </w:r>
    </w:p>
    <w:p w14:paraId="4B3E3749" w14:textId="77777777" w:rsidR="000F7B8B" w:rsidRPr="00747E4C" w:rsidRDefault="000F7B8B" w:rsidP="000F7B8B">
      <w:pPr>
        <w:pStyle w:val="slovanseznam"/>
        <w:numPr>
          <w:ilvl w:val="0"/>
          <w:numId w:val="13"/>
        </w:numPr>
        <w:spacing w:line="240" w:lineRule="auto"/>
        <w:rPr>
          <w:sz w:val="22"/>
          <w:szCs w:val="22"/>
        </w:rPr>
      </w:pPr>
      <w:r w:rsidRPr="00747E4C">
        <w:rPr>
          <w:sz w:val="22"/>
          <w:szCs w:val="22"/>
        </w:rPr>
        <w:t>dojde k porušení povinností týkajících se přeplatku dotace (uvedených v části IV bodě 5); tento bod ovšem nezahrnuje porušení povinností dle vyhlášky č. 367/2015 Sb., o zásadách a lhůtách finančního vypořádání vztahů se státním rozpočtem, státními finančními aktivy a Národním fondem, vyhláška o finančním vypořádání,</w:t>
      </w:r>
      <w:r w:rsidRPr="00747E4C" w:rsidDel="00D77AC4">
        <w:rPr>
          <w:sz w:val="22"/>
          <w:szCs w:val="22"/>
        </w:rPr>
        <w:t xml:space="preserve"> </w:t>
      </w:r>
      <w:r w:rsidRPr="00747E4C">
        <w:rPr>
          <w:sz w:val="22"/>
          <w:szCs w:val="22"/>
        </w:rPr>
        <w:t>(viz část II bod 12),</w:t>
      </w:r>
    </w:p>
    <w:p w14:paraId="2CDBDADD" w14:textId="3236422B" w:rsidR="000F7B8B" w:rsidRDefault="000F7B8B" w:rsidP="000F7B8B">
      <w:pPr>
        <w:pStyle w:val="slovanseznam"/>
        <w:numPr>
          <w:ilvl w:val="0"/>
          <w:numId w:val="13"/>
        </w:numPr>
        <w:spacing w:line="240" w:lineRule="auto"/>
        <w:rPr>
          <w:sz w:val="22"/>
          <w:szCs w:val="22"/>
        </w:rPr>
      </w:pPr>
      <w:r w:rsidRPr="00747E4C">
        <w:rPr>
          <w:sz w:val="22"/>
          <w:szCs w:val="22"/>
        </w:rPr>
        <w:t>dojde k porušení povinností dle části VI tohoto Rozhodnutí,</w:t>
      </w:r>
    </w:p>
    <w:p w14:paraId="66952BD5" w14:textId="2E367F1F" w:rsidR="00D476E0" w:rsidRPr="00D476E0" w:rsidRDefault="00D476E0" w:rsidP="00D476E0">
      <w:pPr>
        <w:pStyle w:val="slovanseznam"/>
        <w:numPr>
          <w:ilvl w:val="0"/>
          <w:numId w:val="13"/>
        </w:numPr>
        <w:spacing w:line="240" w:lineRule="auto"/>
        <w:rPr>
          <w:sz w:val="22"/>
          <w:szCs w:val="22"/>
        </w:rPr>
      </w:pPr>
      <w:r w:rsidRPr="00D476E0">
        <w:rPr>
          <w:sz w:val="22"/>
          <w:szCs w:val="22"/>
        </w:rPr>
        <w:t>dojde k porušení povinností týkajících se vypořádání projektu v souladu s rozpočtovými pravidly a vyhláškou č. 367/2015 Sb., o zásadách a lhůtách finančního vypořádání vztahů se státním rozpočtem, státními finančními aktivy a Národním fondem, vyhláška o finančním vypořádání (uvedených v části II bodě 12);</w:t>
      </w:r>
    </w:p>
    <w:p w14:paraId="096826FB" w14:textId="77777777" w:rsidR="000F7B8B" w:rsidRPr="00747E4C" w:rsidRDefault="000F7B8B" w:rsidP="000F7B8B">
      <w:pPr>
        <w:pStyle w:val="slovanseznam"/>
        <w:tabs>
          <w:tab w:val="num" w:pos="1478"/>
        </w:tabs>
        <w:spacing w:before="120" w:after="200"/>
        <w:rPr>
          <w:sz w:val="22"/>
          <w:szCs w:val="22"/>
        </w:rPr>
      </w:pPr>
      <w:r w:rsidRPr="00747E4C">
        <w:rPr>
          <w:sz w:val="22"/>
          <w:szCs w:val="22"/>
        </w:rPr>
        <w:t>nejedná se o porušení rozpočtové kázně ve smyslu rozpočtových pravidel.</w:t>
      </w:r>
    </w:p>
    <w:p w14:paraId="7BAC24BA" w14:textId="77777777" w:rsidR="00C31C80" w:rsidRPr="00EF7301" w:rsidRDefault="00C31C80" w:rsidP="00C31C80">
      <w:pPr>
        <w:spacing w:before="240" w:line="240" w:lineRule="auto"/>
        <w:jc w:val="center"/>
        <w:rPr>
          <w:rFonts w:eastAsia="Calibri" w:cs="Arial"/>
          <w:b/>
          <w:szCs w:val="24"/>
        </w:rPr>
      </w:pPr>
      <w:r w:rsidRPr="00EF7301">
        <w:rPr>
          <w:rFonts w:eastAsia="Calibri" w:cs="Arial"/>
          <w:b/>
          <w:szCs w:val="24"/>
        </w:rPr>
        <w:t xml:space="preserve">Část </w:t>
      </w:r>
      <w:r w:rsidRPr="00326CB0">
        <w:rPr>
          <w:rFonts w:eastAsia="Calibri" w:cs="Arial"/>
          <w:b/>
          <w:szCs w:val="24"/>
        </w:rPr>
        <w:t>VI</w:t>
      </w:r>
    </w:p>
    <w:p w14:paraId="1609E098" w14:textId="77777777" w:rsidR="00C31C80" w:rsidRPr="00EF7301" w:rsidRDefault="00C31C80" w:rsidP="00C31C80">
      <w:pPr>
        <w:spacing w:line="240" w:lineRule="auto"/>
        <w:jc w:val="center"/>
        <w:rPr>
          <w:rFonts w:eastAsia="Calibri" w:cs="Arial"/>
          <w:b/>
          <w:szCs w:val="24"/>
        </w:rPr>
      </w:pPr>
      <w:r w:rsidRPr="00EF7301">
        <w:rPr>
          <w:rFonts w:eastAsia="Calibri" w:cs="Arial"/>
          <w:b/>
          <w:szCs w:val="24"/>
        </w:rPr>
        <w:t>Pověření ke zpracování osobních údajů</w:t>
      </w:r>
    </w:p>
    <w:p w14:paraId="13F9E5C9" w14:textId="77777777" w:rsidR="00C31C80" w:rsidRPr="00EF7301" w:rsidRDefault="00C31C80" w:rsidP="00C31C80">
      <w:pPr>
        <w:numPr>
          <w:ilvl w:val="0"/>
          <w:numId w:val="19"/>
        </w:numPr>
        <w:spacing w:before="240" w:line="240" w:lineRule="auto"/>
        <w:rPr>
          <w:rFonts w:cs="Arial"/>
          <w:b/>
          <w:bCs/>
          <w:szCs w:val="24"/>
        </w:rPr>
      </w:pPr>
      <w:r w:rsidRPr="00EF7301">
        <w:rPr>
          <w:rFonts w:cs="Arial"/>
          <w:b/>
          <w:bCs/>
          <w:szCs w:val="24"/>
        </w:rPr>
        <w:t xml:space="preserve">Pověření a účel zpracování osobních údajů </w:t>
      </w:r>
    </w:p>
    <w:p w14:paraId="74F11D31" w14:textId="77777777" w:rsidR="00C31C80" w:rsidRPr="00EF7301" w:rsidRDefault="00C31C80" w:rsidP="00C31C80">
      <w:pPr>
        <w:pStyle w:val="slovanseznam"/>
        <w:numPr>
          <w:ilvl w:val="1"/>
          <w:numId w:val="20"/>
        </w:numPr>
        <w:spacing w:after="40" w:line="240" w:lineRule="auto"/>
        <w:rPr>
          <w:rFonts w:eastAsia="Calibri"/>
          <w:sz w:val="22"/>
        </w:rPr>
      </w:pPr>
      <w:r w:rsidRPr="00EF7301">
        <w:rPr>
          <w:rFonts w:eastAsia="Calibri"/>
          <w:sz w:val="22"/>
        </w:rPr>
        <w:lastRenderedPageBreak/>
        <w:t xml:space="preserve">MV pověřuje příjemce, jakožto zpracovatele, ke zpracování osobních údajů, včetně </w:t>
      </w:r>
      <w:r>
        <w:rPr>
          <w:rFonts w:eastAsia="Calibri"/>
          <w:sz w:val="22"/>
        </w:rPr>
        <w:t>zvláštní kategorie osobních údajů</w:t>
      </w:r>
      <w:r w:rsidRPr="00EF7301">
        <w:rPr>
          <w:rFonts w:eastAsia="Calibri"/>
          <w:sz w:val="22"/>
        </w:rPr>
        <w:t xml:space="preserve"> (dále jen „osobní údaje“), osob podpořených v projektu za účelem prokázání řádného a</w:t>
      </w:r>
      <w:r>
        <w:rPr>
          <w:rFonts w:eastAsia="Calibri"/>
          <w:sz w:val="22"/>
        </w:rPr>
        <w:t> </w:t>
      </w:r>
      <w:r w:rsidRPr="00EF7301">
        <w:rPr>
          <w:rFonts w:eastAsia="Calibri"/>
          <w:sz w:val="22"/>
        </w:rPr>
        <w:t xml:space="preserve">efektivního nakládání s prostředky Azylového, migračního a integračního fondu, které byly na realizaci projektu poskytnuty z NP </w:t>
      </w:r>
      <w:r>
        <w:rPr>
          <w:rFonts w:eastAsia="Calibri"/>
          <w:sz w:val="22"/>
        </w:rPr>
        <w:t>AMIF</w:t>
      </w:r>
      <w:r w:rsidRPr="00EF7301">
        <w:rPr>
          <w:rFonts w:eastAsia="Calibri"/>
          <w:sz w:val="22"/>
        </w:rPr>
        <w:t xml:space="preserve"> </w:t>
      </w:r>
      <w:r w:rsidR="0013382A">
        <w:rPr>
          <w:rFonts w:eastAsia="Calibri"/>
          <w:sz w:val="22"/>
        </w:rPr>
        <w:t>tímto</w:t>
      </w:r>
      <w:r w:rsidRPr="00EF7301">
        <w:rPr>
          <w:rFonts w:eastAsia="Calibri"/>
          <w:sz w:val="22"/>
        </w:rPr>
        <w:t xml:space="preserve"> </w:t>
      </w:r>
      <w:r w:rsidR="0013382A">
        <w:rPr>
          <w:rFonts w:eastAsia="Calibri"/>
          <w:sz w:val="22"/>
        </w:rPr>
        <w:t>Rozhodnutím</w:t>
      </w:r>
      <w:r w:rsidRPr="00EF7301">
        <w:rPr>
          <w:rFonts w:eastAsia="Calibri"/>
          <w:sz w:val="22"/>
        </w:rPr>
        <w:t xml:space="preserve">, a to v rozsahu uvedeném v bodě 2 části VI </w:t>
      </w:r>
      <w:r w:rsidR="0013382A">
        <w:rPr>
          <w:rFonts w:eastAsia="Calibri"/>
          <w:sz w:val="22"/>
        </w:rPr>
        <w:t>tohoto Rozhodnutí</w:t>
      </w:r>
      <w:r w:rsidRPr="00EF7301">
        <w:rPr>
          <w:rFonts w:eastAsia="Calibri"/>
          <w:sz w:val="22"/>
        </w:rPr>
        <w:t>.</w:t>
      </w:r>
    </w:p>
    <w:p w14:paraId="60F9E473" w14:textId="77777777" w:rsidR="00C31C80" w:rsidRPr="00EF7301" w:rsidRDefault="00C31C80" w:rsidP="00C31C80">
      <w:pPr>
        <w:pStyle w:val="slovanseznam"/>
        <w:numPr>
          <w:ilvl w:val="1"/>
          <w:numId w:val="20"/>
        </w:numPr>
        <w:spacing w:line="240" w:lineRule="auto"/>
        <w:rPr>
          <w:rFonts w:eastAsia="Calibri"/>
          <w:sz w:val="22"/>
        </w:rPr>
      </w:pPr>
      <w:r w:rsidRPr="00326CB0">
        <w:rPr>
          <w:rFonts w:eastAsia="Calibri"/>
          <w:sz w:val="22"/>
        </w:rPr>
        <w:t>Poskytovatel je jakožto správce podle čl. 6 odst. 1 písm. c) a podle čl. 9 odst. 2 písm. g) nařízení Evropského parlamentu a Rady (EU) 2016/679 ze dne 27. dubna 2016, o ochraně fyzických osob v souvislosti se zpracováním osobních údajů a o volném pohybu těchto údajů a o zrušení směrnice 95/46/ES (dále jen „Obecné nařízení o ochraně osobních údajů“), oprávněn zpracovávat osobní údaje podpořených osob (včetně zvláštních kategorií osobních údajů) na základě nařízení</w:t>
      </w:r>
      <w:r w:rsidRPr="00EF7301">
        <w:rPr>
          <w:rFonts w:eastAsia="Calibri"/>
          <w:sz w:val="22"/>
        </w:rPr>
        <w:t xml:space="preserve"> na základě nařízení </w:t>
      </w:r>
      <w:r w:rsidRPr="00074ED8">
        <w:rPr>
          <w:rFonts w:eastAsia="Calibri"/>
          <w:sz w:val="22"/>
        </w:rPr>
        <w:t xml:space="preserve">Evropského parlamentu a Rady (EU) </w:t>
      </w:r>
      <w:r>
        <w:rPr>
          <w:rFonts w:eastAsia="Calibri"/>
          <w:sz w:val="22"/>
        </w:rPr>
        <w:br/>
      </w:r>
      <w:r w:rsidRPr="00074ED8">
        <w:rPr>
          <w:rFonts w:eastAsia="Calibri"/>
          <w:sz w:val="22"/>
        </w:rPr>
        <w:t>č. 514/2014 ze dne 16. dubna 2014 o obecných ustanoveních týkajících se Azylového, migračního a integračního fondu a nástroje pro finanční podporu policejní spolupráce, předcházení trestné činnosti, boje proti trestné činnosti a řešení krizí a nařízení Evropského parlamentu a Rady (EU) č. 516/2014 ze dne 16. dubna 2014, kterým se zřizuje Azylový, migrační a integrační fond, mění rozhodnutí Rady 2008/381/ES a zrušují rozhodnutí Evropského parlamentu a Rady č. 573/2007/ES a č. 575/2007/ES a rozhodnutí Rady 2007/435/ES.</w:t>
      </w:r>
    </w:p>
    <w:p w14:paraId="6DBDEF29" w14:textId="77777777" w:rsidR="00C31C80" w:rsidRPr="00EF7301" w:rsidRDefault="00C31C80" w:rsidP="00C31C80">
      <w:pPr>
        <w:numPr>
          <w:ilvl w:val="0"/>
          <w:numId w:val="19"/>
        </w:numPr>
        <w:spacing w:before="240" w:line="240" w:lineRule="auto"/>
        <w:rPr>
          <w:rFonts w:cs="Arial"/>
          <w:b/>
          <w:bCs/>
          <w:szCs w:val="24"/>
        </w:rPr>
      </w:pPr>
      <w:r w:rsidRPr="00EF7301">
        <w:rPr>
          <w:rFonts w:cs="Arial"/>
          <w:b/>
          <w:bCs/>
          <w:szCs w:val="24"/>
        </w:rPr>
        <w:t>Rozsah zpracování osobních údajů na základě pověření a jejich ochrana</w:t>
      </w:r>
    </w:p>
    <w:p w14:paraId="2A8CDA80" w14:textId="77777777" w:rsidR="00C31C80" w:rsidRPr="00EF7301" w:rsidRDefault="00C31C80" w:rsidP="00C31C80">
      <w:pPr>
        <w:numPr>
          <w:ilvl w:val="1"/>
          <w:numId w:val="19"/>
        </w:numPr>
        <w:spacing w:before="240" w:after="40" w:line="240" w:lineRule="auto"/>
        <w:rPr>
          <w:rFonts w:eastAsia="Calibri" w:cs="Arial"/>
          <w:szCs w:val="24"/>
          <w:lang w:eastAsia="en-US"/>
        </w:rPr>
      </w:pPr>
      <w:r w:rsidRPr="00EF7301">
        <w:rPr>
          <w:rFonts w:eastAsia="Calibri" w:cs="Arial"/>
          <w:szCs w:val="24"/>
        </w:rPr>
        <w:t>Příjemce je oprávněn zpracovávat osobní údaje podpořené osoby v rozsahu vymezeném v pravidlech NP AMIF.</w:t>
      </w:r>
    </w:p>
    <w:p w14:paraId="78A73BD6" w14:textId="77777777" w:rsidR="00C31C80" w:rsidRPr="00EF7301" w:rsidRDefault="00C31C80" w:rsidP="00C31C80">
      <w:pPr>
        <w:numPr>
          <w:ilvl w:val="1"/>
          <w:numId w:val="19"/>
        </w:numPr>
        <w:spacing w:before="40" w:after="40" w:line="240" w:lineRule="auto"/>
        <w:rPr>
          <w:rFonts w:eastAsia="Calibri" w:cs="Arial"/>
          <w:szCs w:val="24"/>
        </w:rPr>
      </w:pPr>
      <w:r w:rsidRPr="00EF7301">
        <w:rPr>
          <w:rFonts w:eastAsia="Calibri" w:cs="Arial"/>
          <w:szCs w:val="24"/>
        </w:rPr>
        <w:t>Osobní údaje je příjemce oprávněn zpracovávat výhradně v souvislosti s realizací projektu, zejména pak při přípravě monitorovacích zpráv o realizaci projektu.</w:t>
      </w:r>
    </w:p>
    <w:p w14:paraId="42AF6AB1" w14:textId="77777777" w:rsidR="00C31C80" w:rsidRPr="00EF7301" w:rsidRDefault="00C31C80" w:rsidP="00C31C80">
      <w:pPr>
        <w:numPr>
          <w:ilvl w:val="0"/>
          <w:numId w:val="19"/>
        </w:numPr>
        <w:spacing w:before="240" w:line="240" w:lineRule="auto"/>
        <w:rPr>
          <w:rFonts w:cs="Arial"/>
          <w:b/>
          <w:bCs/>
          <w:szCs w:val="24"/>
        </w:rPr>
      </w:pPr>
      <w:r w:rsidRPr="00EF7301">
        <w:rPr>
          <w:rFonts w:cs="Arial"/>
          <w:b/>
          <w:bCs/>
          <w:szCs w:val="24"/>
        </w:rPr>
        <w:t>Technické a organizační zabezpečení ochrany osobních údajů</w:t>
      </w:r>
    </w:p>
    <w:p w14:paraId="5E9CDC25" w14:textId="77777777" w:rsidR="00C31C80" w:rsidRDefault="00C31C80" w:rsidP="00C31C80">
      <w:pPr>
        <w:pStyle w:val="slovanseznam"/>
        <w:tabs>
          <w:tab w:val="num" w:pos="1478"/>
        </w:tabs>
        <w:spacing w:line="240" w:lineRule="auto"/>
      </w:pPr>
      <w:r w:rsidRPr="00EF7301">
        <w:rPr>
          <w:sz w:val="22"/>
        </w:rPr>
        <w:t xml:space="preserve">Příjemce je povinen zpracovávat a chránit osobní údaje v souladu </w:t>
      </w:r>
      <w:r w:rsidRPr="00DB0704">
        <w:rPr>
          <w:sz w:val="22"/>
        </w:rPr>
        <w:t>Obecným nařízením o ochraně osobních údajů</w:t>
      </w:r>
      <w:r>
        <w:rPr>
          <w:sz w:val="22"/>
        </w:rPr>
        <w:t xml:space="preserve"> a to zejména takto:</w:t>
      </w:r>
    </w:p>
    <w:p w14:paraId="42B65B19" w14:textId="77777777" w:rsidR="00C31C80" w:rsidRPr="00326CB0" w:rsidRDefault="00C31C80" w:rsidP="00C31C80">
      <w:pPr>
        <w:numPr>
          <w:ilvl w:val="0"/>
          <w:numId w:val="21"/>
        </w:numPr>
        <w:spacing w:line="240" w:lineRule="auto"/>
        <w:rPr>
          <w:rFonts w:cs="Arial"/>
          <w:szCs w:val="24"/>
        </w:rPr>
      </w:pPr>
      <w:r w:rsidRPr="00326CB0">
        <w:rPr>
          <w:rFonts w:cs="Arial"/>
          <w:szCs w:val="24"/>
        </w:rPr>
        <w:t xml:space="preserve">osobní údaje ve fyzické podobě, tj. listinné údaje či na nosičích dat, budou uchovávány v uzamykatelných schránkách, a to po dobu uvedenou v bodě 4 této části </w:t>
      </w:r>
      <w:r w:rsidR="0013382A">
        <w:rPr>
          <w:rFonts w:cs="Arial"/>
          <w:szCs w:val="24"/>
        </w:rPr>
        <w:t>tohoto Rozhodnutí</w:t>
      </w:r>
      <w:r w:rsidRPr="00326CB0">
        <w:rPr>
          <w:rFonts w:cs="Arial"/>
          <w:szCs w:val="24"/>
        </w:rPr>
        <w:t xml:space="preserve">; </w:t>
      </w:r>
    </w:p>
    <w:p w14:paraId="68D197E2" w14:textId="77777777" w:rsidR="00C31C80" w:rsidRPr="00DB0704" w:rsidRDefault="00C31C80" w:rsidP="00C31C80">
      <w:pPr>
        <w:numPr>
          <w:ilvl w:val="0"/>
          <w:numId w:val="21"/>
        </w:numPr>
        <w:spacing w:line="240" w:lineRule="auto"/>
        <w:rPr>
          <w:rFonts w:eastAsia="Calibri" w:cs="Arial"/>
          <w:szCs w:val="24"/>
        </w:rPr>
      </w:pPr>
      <w:r w:rsidRPr="00DB0704">
        <w:rPr>
          <w:rFonts w:eastAsia="Calibri" w:cs="Arial"/>
          <w:szCs w:val="24"/>
        </w:rPr>
        <w:t>pří</w:t>
      </w:r>
      <w:r w:rsidRPr="00326CB0">
        <w:rPr>
          <w:rFonts w:cs="Arial"/>
          <w:szCs w:val="24"/>
        </w:rPr>
        <w:t>stup ke zpracovávaným osobním údajům umožní příjemce pouze MV, svým zaměstnancům a</w:t>
      </w:r>
      <w:r>
        <w:rPr>
          <w:rFonts w:cs="Arial"/>
          <w:szCs w:val="24"/>
        </w:rPr>
        <w:t> </w:t>
      </w:r>
      <w:r w:rsidRPr="00326CB0">
        <w:rPr>
          <w:rFonts w:cs="Arial"/>
          <w:szCs w:val="24"/>
        </w:rPr>
        <w:t xml:space="preserve">orgánům oprávněným provádět kontrolu podle části II bodu 7 </w:t>
      </w:r>
      <w:r w:rsidR="0013382A">
        <w:rPr>
          <w:rFonts w:cs="Arial"/>
          <w:szCs w:val="24"/>
        </w:rPr>
        <w:t>tohoto Rozhodnutí</w:t>
      </w:r>
      <w:r w:rsidRPr="00326CB0">
        <w:rPr>
          <w:rFonts w:cs="Arial"/>
          <w:szCs w:val="24"/>
        </w:rPr>
        <w:t>, ledaže je dále upraveno jinak</w:t>
      </w:r>
      <w:r>
        <w:rPr>
          <w:rFonts w:eastAsia="Calibri"/>
        </w:rPr>
        <w:t>;</w:t>
      </w:r>
    </w:p>
    <w:p w14:paraId="4BBCB615" w14:textId="77777777" w:rsidR="00C31C80" w:rsidRPr="00EF7301" w:rsidRDefault="00C31C80" w:rsidP="00C31C80">
      <w:pPr>
        <w:numPr>
          <w:ilvl w:val="0"/>
          <w:numId w:val="21"/>
        </w:numPr>
        <w:spacing w:line="240" w:lineRule="auto"/>
        <w:rPr>
          <w:rFonts w:eastAsia="Calibri" w:cs="Arial"/>
          <w:szCs w:val="24"/>
        </w:rPr>
      </w:pPr>
      <w:r w:rsidRPr="00EF7301">
        <w:rPr>
          <w:rFonts w:eastAsia="Calibri" w:cs="Arial"/>
          <w:szCs w:val="24"/>
        </w:rPr>
        <w:t xml:space="preserve">zaměstnanci příjemce, kterým bude umožněn přístup ke zpracovávaným osobním údajům, </w:t>
      </w:r>
      <w:r w:rsidRPr="00DB0704">
        <w:rPr>
          <w:rFonts w:eastAsia="Calibri" w:cs="Arial"/>
          <w:szCs w:val="24"/>
        </w:rPr>
        <w:t>budou příjemcem doložitelně poučeni o povinnosti zachovávat mlčenlivost podle čl. 28 odst. 3 písm. b) Obecného nařízení o ochraně osobních údajů.</w:t>
      </w:r>
    </w:p>
    <w:p w14:paraId="21A21C92" w14:textId="77777777" w:rsidR="00C31C80" w:rsidRPr="00EF7301" w:rsidRDefault="00C31C80" w:rsidP="00C31C80">
      <w:pPr>
        <w:numPr>
          <w:ilvl w:val="0"/>
          <w:numId w:val="19"/>
        </w:numPr>
        <w:spacing w:before="240" w:line="240" w:lineRule="auto"/>
        <w:rPr>
          <w:rFonts w:cs="Arial"/>
          <w:b/>
          <w:bCs/>
          <w:szCs w:val="24"/>
        </w:rPr>
      </w:pPr>
      <w:r w:rsidRPr="00EF7301">
        <w:rPr>
          <w:rFonts w:cs="Arial"/>
          <w:b/>
          <w:bCs/>
          <w:szCs w:val="24"/>
        </w:rPr>
        <w:t>Doba zpracování</w:t>
      </w:r>
    </w:p>
    <w:p w14:paraId="632ED7D1" w14:textId="77777777" w:rsidR="00C31C80" w:rsidRPr="00EF7301" w:rsidRDefault="00C31C80" w:rsidP="00C31C80">
      <w:pPr>
        <w:spacing w:line="240" w:lineRule="auto"/>
        <w:rPr>
          <w:rFonts w:eastAsia="Calibri" w:cs="Arial"/>
          <w:szCs w:val="24"/>
          <w:lang w:eastAsia="en-US"/>
        </w:rPr>
      </w:pPr>
      <w:r w:rsidRPr="00EF7301">
        <w:rPr>
          <w:rFonts w:eastAsia="Calibri" w:cs="Arial"/>
          <w:szCs w:val="24"/>
        </w:rPr>
        <w:t>Příjemce je oprávněn zpracovávat osobní údaje pod dobu deseti let od ukončení realizace projektu. Bez zbytečného odkladu po uplynutí této doby je příjemce povinen provést likvidaci těchto osobních údajů.</w:t>
      </w:r>
    </w:p>
    <w:p w14:paraId="171A5168" w14:textId="77777777" w:rsidR="00C31C80" w:rsidRPr="00EF7301" w:rsidRDefault="00C31C80" w:rsidP="00C31C80">
      <w:pPr>
        <w:numPr>
          <w:ilvl w:val="0"/>
          <w:numId w:val="19"/>
        </w:numPr>
        <w:spacing w:before="240" w:line="240" w:lineRule="auto"/>
        <w:rPr>
          <w:rFonts w:cs="Arial"/>
          <w:b/>
          <w:bCs/>
          <w:szCs w:val="24"/>
        </w:rPr>
      </w:pPr>
      <w:r w:rsidRPr="00EF7301">
        <w:rPr>
          <w:rFonts w:cs="Arial"/>
          <w:b/>
          <w:bCs/>
          <w:szCs w:val="24"/>
        </w:rPr>
        <w:t>Zpracování jiných osobních údajů podpořených osob</w:t>
      </w:r>
    </w:p>
    <w:p w14:paraId="67B1CC82" w14:textId="77777777" w:rsidR="00C31C80" w:rsidRPr="00EF7301" w:rsidRDefault="00C31C80" w:rsidP="00C31C80">
      <w:pPr>
        <w:spacing w:line="240" w:lineRule="auto"/>
        <w:rPr>
          <w:rFonts w:eastAsia="Calibri" w:cs="Arial"/>
          <w:szCs w:val="24"/>
          <w:lang w:eastAsia="en-US"/>
        </w:rPr>
      </w:pPr>
      <w:r w:rsidRPr="00EF7301">
        <w:rPr>
          <w:rFonts w:eastAsia="Calibri" w:cs="Arial"/>
          <w:szCs w:val="24"/>
        </w:rPr>
        <w:t xml:space="preserve">Pokud podpořená osoba v souvislosti se svojí účastí v projektu poskytla příjemci jiné, pro realizaci projektu nezbytné osobní údaje, než ty které uvádí v pravidlech NP AMIF, vztahují se na jejich zpracování podmínky části VI </w:t>
      </w:r>
      <w:r w:rsidR="0013382A">
        <w:rPr>
          <w:rFonts w:eastAsia="Calibri" w:cs="Arial"/>
          <w:szCs w:val="24"/>
        </w:rPr>
        <w:t>tohoto Rozhodnutí</w:t>
      </w:r>
      <w:r w:rsidRPr="00EF7301">
        <w:rPr>
          <w:rFonts w:eastAsia="Calibri" w:cs="Arial"/>
          <w:szCs w:val="24"/>
        </w:rPr>
        <w:t xml:space="preserve"> obdobně. </w:t>
      </w:r>
    </w:p>
    <w:p w14:paraId="2AFF8D3D" w14:textId="77777777" w:rsidR="00C31C80" w:rsidRPr="00EF7301" w:rsidRDefault="00C31C80" w:rsidP="00C31C80">
      <w:pPr>
        <w:numPr>
          <w:ilvl w:val="0"/>
          <w:numId w:val="19"/>
        </w:numPr>
        <w:spacing w:before="240" w:line="240" w:lineRule="auto"/>
        <w:ind w:left="357" w:hanging="357"/>
        <w:rPr>
          <w:rFonts w:cs="Arial"/>
          <w:b/>
          <w:bCs/>
          <w:szCs w:val="24"/>
        </w:rPr>
      </w:pPr>
      <w:r w:rsidRPr="00EF7301">
        <w:rPr>
          <w:rFonts w:cs="Arial"/>
          <w:b/>
          <w:bCs/>
          <w:szCs w:val="24"/>
        </w:rPr>
        <w:t>Zpracování ostatními osobami</w:t>
      </w:r>
    </w:p>
    <w:p w14:paraId="28DA3A39" w14:textId="77777777" w:rsidR="00C31C80" w:rsidRPr="00EF7301" w:rsidRDefault="00C31C80" w:rsidP="00C31C80">
      <w:pPr>
        <w:numPr>
          <w:ilvl w:val="1"/>
          <w:numId w:val="19"/>
        </w:numPr>
        <w:spacing w:before="120" w:after="40" w:line="240" w:lineRule="auto"/>
        <w:rPr>
          <w:rFonts w:eastAsia="Calibri" w:cs="Arial"/>
          <w:szCs w:val="24"/>
          <w:lang w:eastAsia="en-US"/>
        </w:rPr>
      </w:pPr>
      <w:r w:rsidRPr="00DB0704">
        <w:rPr>
          <w:rFonts w:eastAsia="Calibri" w:cs="Arial"/>
          <w:szCs w:val="24"/>
        </w:rPr>
        <w:lastRenderedPageBreak/>
        <w:t>Příjemce je povinen uzavřít smlouvu podle čl. 28 odst. 4 Obecného nařízení o ochraně osobních údajů s partnerem nebo s dodavatelem, pokud taková osoba má v souvislosti s</w:t>
      </w:r>
      <w:r>
        <w:rPr>
          <w:rFonts w:eastAsia="Calibri" w:cs="Arial"/>
          <w:szCs w:val="24"/>
        </w:rPr>
        <w:t> </w:t>
      </w:r>
      <w:r w:rsidRPr="00DB0704">
        <w:rPr>
          <w:rFonts w:eastAsia="Calibri" w:cs="Arial"/>
          <w:szCs w:val="24"/>
        </w:rPr>
        <w:t xml:space="preserve">realizací projektu zpracovávat osobní údaje podpořených osob. Stejnou povinnost má partner vůči svému dodavateli. Příjemce je povinen předem poskytovatele informovat </w:t>
      </w:r>
      <w:r>
        <w:rPr>
          <w:rFonts w:eastAsia="Calibri" w:cs="Arial"/>
          <w:szCs w:val="24"/>
        </w:rPr>
        <w:br/>
      </w:r>
      <w:r w:rsidRPr="00DB0704">
        <w:rPr>
          <w:rFonts w:eastAsia="Calibri" w:cs="Arial"/>
          <w:szCs w:val="24"/>
        </w:rPr>
        <w:t>o veškerých subjektech, které mají v projektu působit jako zpracovatelé osobních údajů. Poskytovatel je oprávněn vyslovit vůči zapojení těchto subjektů jakožto zpracovatelů osobních údajů námitk</w:t>
      </w:r>
      <w:r>
        <w:rPr>
          <w:rFonts w:eastAsia="Calibri" w:cs="Arial"/>
          <w:szCs w:val="24"/>
        </w:rPr>
        <w:t>y</w:t>
      </w:r>
      <w:r w:rsidRPr="00EF7301">
        <w:rPr>
          <w:rFonts w:eastAsia="Calibri" w:cs="Arial"/>
          <w:szCs w:val="24"/>
        </w:rPr>
        <w:t>.</w:t>
      </w:r>
    </w:p>
    <w:p w14:paraId="56F8671C" w14:textId="77777777" w:rsidR="00C31C80" w:rsidRDefault="00C31C80" w:rsidP="00C31C80">
      <w:pPr>
        <w:numPr>
          <w:ilvl w:val="1"/>
          <w:numId w:val="19"/>
        </w:numPr>
        <w:spacing w:before="40" w:after="40" w:line="240" w:lineRule="auto"/>
        <w:rPr>
          <w:rFonts w:eastAsia="Calibri" w:cs="Arial"/>
          <w:szCs w:val="24"/>
        </w:rPr>
      </w:pPr>
      <w:r w:rsidRPr="00EF7301">
        <w:rPr>
          <w:rFonts w:eastAsia="Calibri" w:cs="Arial"/>
          <w:szCs w:val="24"/>
        </w:rPr>
        <w:t xml:space="preserve">Smlouvy </w:t>
      </w:r>
      <w:r w:rsidRPr="00973BDA">
        <w:rPr>
          <w:rFonts w:eastAsia="Calibri" w:cs="Arial"/>
          <w:szCs w:val="24"/>
        </w:rPr>
        <w:t>uzavírané podle čl. 28 odst. 4 Obecného nařízení o ochraně osobních údajů s</w:t>
      </w:r>
      <w:r>
        <w:rPr>
          <w:rFonts w:eastAsia="Calibri" w:cs="Arial"/>
          <w:szCs w:val="24"/>
        </w:rPr>
        <w:t> </w:t>
      </w:r>
      <w:r w:rsidRPr="00973BDA">
        <w:rPr>
          <w:rFonts w:eastAsia="Calibri" w:cs="Arial"/>
          <w:szCs w:val="24"/>
        </w:rPr>
        <w:t>partnerem, resp. s dodavatelem, musí upravovat podmínky zpracování osobních údajů stejně jako podmínky stanovené v pověření příjemce dotace v této části tohoto Rozhodnutí</w:t>
      </w:r>
      <w:r w:rsidRPr="00EF7301">
        <w:rPr>
          <w:rFonts w:eastAsia="Calibri" w:cs="Arial"/>
          <w:szCs w:val="24"/>
        </w:rPr>
        <w:t>.</w:t>
      </w:r>
    </w:p>
    <w:p w14:paraId="1298852D" w14:textId="77777777" w:rsidR="00C31C80" w:rsidRDefault="00C31C80" w:rsidP="00C31C80">
      <w:pPr>
        <w:numPr>
          <w:ilvl w:val="1"/>
          <w:numId w:val="19"/>
        </w:numPr>
        <w:spacing w:before="40" w:after="40" w:line="240" w:lineRule="auto"/>
        <w:rPr>
          <w:rFonts w:eastAsia="Calibri" w:cs="Arial"/>
          <w:szCs w:val="24"/>
        </w:rPr>
      </w:pPr>
      <w:r w:rsidRPr="00973BDA">
        <w:rPr>
          <w:rFonts w:eastAsia="Calibri" w:cs="Arial"/>
          <w:szCs w:val="24"/>
        </w:rPr>
        <w:t>Neplní-li uvedený další zpracovatel své povinnosti v oblasti ochrany osobních údajů, odpovídá správci za plnění povinností dotčeného dalšího zpracovatele i nadále plně prvotní zpracovatel</w:t>
      </w:r>
      <w:r>
        <w:rPr>
          <w:rFonts w:eastAsia="Calibri" w:cs="Arial"/>
          <w:szCs w:val="24"/>
        </w:rPr>
        <w:t>.</w:t>
      </w:r>
    </w:p>
    <w:p w14:paraId="0039C753" w14:textId="77777777" w:rsidR="00C31C80" w:rsidRPr="00973BDA" w:rsidRDefault="00C31C80" w:rsidP="00C31C80">
      <w:pPr>
        <w:numPr>
          <w:ilvl w:val="0"/>
          <w:numId w:val="19"/>
        </w:numPr>
        <w:spacing w:before="240" w:line="240" w:lineRule="auto"/>
        <w:ind w:left="357" w:hanging="357"/>
        <w:rPr>
          <w:rFonts w:eastAsia="Calibri" w:cs="Arial"/>
          <w:szCs w:val="24"/>
        </w:rPr>
      </w:pPr>
      <w:r w:rsidRPr="00326CB0">
        <w:rPr>
          <w:rFonts w:cs="Arial"/>
          <w:b/>
          <w:bCs/>
          <w:szCs w:val="24"/>
        </w:rPr>
        <w:t xml:space="preserve"> Další povinnosti příjemce v souvislosti se zpracováním osobních údajů</w:t>
      </w:r>
    </w:p>
    <w:p w14:paraId="43A06291" w14:textId="77777777" w:rsidR="00C31C80" w:rsidRPr="00973BDA" w:rsidRDefault="00C31C80" w:rsidP="00C31C80">
      <w:pPr>
        <w:numPr>
          <w:ilvl w:val="1"/>
          <w:numId w:val="19"/>
        </w:numPr>
        <w:spacing w:before="40" w:after="40" w:line="240" w:lineRule="auto"/>
        <w:rPr>
          <w:rFonts w:eastAsia="Calibri" w:cs="Arial"/>
          <w:szCs w:val="24"/>
        </w:rPr>
      </w:pPr>
      <w:r w:rsidRPr="00973BDA">
        <w:rPr>
          <w:rFonts w:eastAsia="Calibri" w:cs="Arial"/>
          <w:szCs w:val="24"/>
        </w:rPr>
        <w:t xml:space="preserve">Příjemce je povinen poskytovatele v souladu s čl. 33 odst. 2 Obecného nařízení o ochraně osobních údajů informovat o jakémkoli porušení zabezpečení osobních údajů, a to do 24 hodin od okamžiku, kdy se o něm dozvěděl. </w:t>
      </w:r>
    </w:p>
    <w:p w14:paraId="7AF21CFB" w14:textId="77777777" w:rsidR="00C31C80" w:rsidRPr="00973BDA" w:rsidRDefault="00C31C80" w:rsidP="00C31C80">
      <w:pPr>
        <w:numPr>
          <w:ilvl w:val="1"/>
          <w:numId w:val="19"/>
        </w:numPr>
        <w:spacing w:before="40" w:after="40" w:line="240" w:lineRule="auto"/>
        <w:rPr>
          <w:rFonts w:eastAsia="Calibri" w:cs="Arial"/>
          <w:szCs w:val="24"/>
        </w:rPr>
      </w:pPr>
      <w:r w:rsidRPr="00973BDA">
        <w:rPr>
          <w:rFonts w:eastAsia="Calibri" w:cs="Arial"/>
          <w:szCs w:val="24"/>
        </w:rPr>
        <w:t>Příjemce je povinen na základě vyžádání předat poskytovateli veškeré informace potřebné k</w:t>
      </w:r>
      <w:r>
        <w:rPr>
          <w:rFonts w:eastAsia="Calibri" w:cs="Arial"/>
          <w:szCs w:val="24"/>
        </w:rPr>
        <w:t> </w:t>
      </w:r>
      <w:r w:rsidRPr="00973BDA">
        <w:rPr>
          <w:rFonts w:eastAsia="Calibri" w:cs="Arial"/>
          <w:szCs w:val="24"/>
        </w:rPr>
        <w:t>doložení splnění povinností stanovených v této části Rozhodnutí.</w:t>
      </w:r>
    </w:p>
    <w:p w14:paraId="354EBC46" w14:textId="77777777" w:rsidR="00C31C80" w:rsidRPr="00EF7301" w:rsidRDefault="00C31C80" w:rsidP="00C31C80">
      <w:pPr>
        <w:numPr>
          <w:ilvl w:val="1"/>
          <w:numId w:val="19"/>
        </w:numPr>
        <w:spacing w:before="40" w:after="40" w:line="240" w:lineRule="auto"/>
        <w:rPr>
          <w:rFonts w:eastAsia="Calibri" w:cs="Arial"/>
          <w:szCs w:val="24"/>
        </w:rPr>
      </w:pPr>
      <w:r w:rsidRPr="00973BDA">
        <w:rPr>
          <w:rFonts w:eastAsia="Calibri" w:cs="Arial"/>
          <w:szCs w:val="24"/>
        </w:rPr>
        <w:t>Příjemce je povinen spolupracovat s poskytovatelem při plnění jeho povinnosti reagovat na žádosti podpořených osob týkající se jejich osobních údajů.</w:t>
      </w:r>
    </w:p>
    <w:p w14:paraId="2899A345" w14:textId="77777777" w:rsidR="000F7B8B" w:rsidRPr="00747E4C" w:rsidRDefault="000F7B8B" w:rsidP="000F7B8B">
      <w:pPr>
        <w:spacing w:before="360"/>
        <w:jc w:val="center"/>
        <w:rPr>
          <w:rFonts w:cs="Arial"/>
          <w:b/>
        </w:rPr>
      </w:pPr>
      <w:r w:rsidRPr="00747E4C">
        <w:rPr>
          <w:rFonts w:cs="Arial"/>
          <w:b/>
        </w:rPr>
        <w:t>Část VII</w:t>
      </w:r>
    </w:p>
    <w:p w14:paraId="29195FBD" w14:textId="77777777" w:rsidR="000F7B8B" w:rsidRPr="00747E4C" w:rsidRDefault="000F7B8B" w:rsidP="000F7B8B">
      <w:pPr>
        <w:jc w:val="center"/>
        <w:rPr>
          <w:rFonts w:cs="Arial"/>
          <w:b/>
        </w:rPr>
      </w:pPr>
      <w:r w:rsidRPr="00747E4C">
        <w:rPr>
          <w:rFonts w:cs="Arial"/>
          <w:b/>
        </w:rPr>
        <w:t>Závěrečná ustanovení</w:t>
      </w:r>
    </w:p>
    <w:p w14:paraId="4D7AAF0D" w14:textId="77777777" w:rsidR="000F7B8B" w:rsidRPr="00747E4C" w:rsidRDefault="000F7B8B" w:rsidP="000F7B8B">
      <w:pPr>
        <w:pStyle w:val="slovanseznam"/>
        <w:numPr>
          <w:ilvl w:val="0"/>
          <w:numId w:val="14"/>
        </w:numPr>
        <w:spacing w:line="240" w:lineRule="auto"/>
        <w:rPr>
          <w:iCs/>
          <w:snapToGrid w:val="0"/>
          <w:sz w:val="22"/>
          <w:szCs w:val="22"/>
        </w:rPr>
      </w:pPr>
      <w:r w:rsidRPr="00747E4C">
        <w:rPr>
          <w:iCs/>
          <w:snapToGrid w:val="0"/>
          <w:sz w:val="22"/>
          <w:szCs w:val="22"/>
        </w:rPr>
        <w:t>Pojmy uvedené v tomto Rozhodnutí jsou používány ve smyslu, jak jsou definovány v pravidlech NP AMIF.</w:t>
      </w:r>
    </w:p>
    <w:p w14:paraId="769A53F2" w14:textId="77777777" w:rsidR="000F7B8B" w:rsidRPr="00747E4C" w:rsidRDefault="000F7B8B" w:rsidP="000F7B8B">
      <w:pPr>
        <w:pStyle w:val="slovanseznam"/>
        <w:numPr>
          <w:ilvl w:val="0"/>
          <w:numId w:val="14"/>
        </w:numPr>
        <w:spacing w:line="240" w:lineRule="auto"/>
        <w:rPr>
          <w:iCs/>
          <w:snapToGrid w:val="0"/>
          <w:sz w:val="22"/>
          <w:szCs w:val="22"/>
        </w:rPr>
      </w:pPr>
      <w:r w:rsidRPr="00747E4C">
        <w:rPr>
          <w:iCs/>
          <w:snapToGrid w:val="0"/>
          <w:sz w:val="22"/>
          <w:szCs w:val="22"/>
        </w:rPr>
        <w:t>Rozhodnutí nabývá účinnosti dnem podpisu poskytovatelem dotace.</w:t>
      </w:r>
    </w:p>
    <w:p w14:paraId="19935D08" w14:textId="77777777" w:rsidR="000F7B8B" w:rsidRPr="00747E4C" w:rsidRDefault="000F7B8B" w:rsidP="000F7B8B">
      <w:pPr>
        <w:pStyle w:val="slovanseznam"/>
        <w:numPr>
          <w:ilvl w:val="0"/>
          <w:numId w:val="14"/>
        </w:numPr>
        <w:spacing w:line="240" w:lineRule="auto"/>
        <w:rPr>
          <w:iCs/>
          <w:snapToGrid w:val="0"/>
          <w:sz w:val="22"/>
          <w:szCs w:val="22"/>
        </w:rPr>
      </w:pPr>
      <w:r w:rsidRPr="00747E4C">
        <w:rPr>
          <w:iCs/>
          <w:snapToGrid w:val="0"/>
          <w:sz w:val="22"/>
          <w:szCs w:val="22"/>
        </w:rPr>
        <w:t>Rozhodnutí se vyhotovuje v</w:t>
      </w:r>
      <w:r>
        <w:rPr>
          <w:iCs/>
          <w:snapToGrid w:val="0"/>
          <w:sz w:val="22"/>
          <w:szCs w:val="22"/>
        </w:rPr>
        <w:t> elektronické</w:t>
      </w:r>
      <w:r w:rsidRPr="00747E4C">
        <w:rPr>
          <w:iCs/>
          <w:snapToGrid w:val="0"/>
          <w:sz w:val="22"/>
          <w:szCs w:val="22"/>
        </w:rPr>
        <w:t xml:space="preserve"> podobě.</w:t>
      </w:r>
    </w:p>
    <w:p w14:paraId="4564C7F5" w14:textId="77777777" w:rsidR="000F7B8B" w:rsidRPr="00747E4C" w:rsidRDefault="000F7B8B" w:rsidP="000F7B8B">
      <w:pPr>
        <w:pStyle w:val="slovanseznam"/>
        <w:numPr>
          <w:ilvl w:val="0"/>
          <w:numId w:val="14"/>
        </w:numPr>
        <w:spacing w:line="240" w:lineRule="auto"/>
        <w:rPr>
          <w:iCs/>
          <w:snapToGrid w:val="0"/>
          <w:sz w:val="22"/>
          <w:szCs w:val="22"/>
        </w:rPr>
      </w:pPr>
      <w:r w:rsidRPr="00747E4C">
        <w:rPr>
          <w:iCs/>
          <w:snapToGrid w:val="0"/>
          <w:sz w:val="22"/>
          <w:szCs w:val="22"/>
        </w:rPr>
        <w:t>Příjemce dotace je povinen řídit se při realizaci projektu ustanoveními příloh uvedených v bodě 5 této části Rozhodnutí a dále dokumenty, které jsou zmíněny v části II bodě 1 tohoto Rozhodnutí.</w:t>
      </w:r>
    </w:p>
    <w:p w14:paraId="4657E9DB" w14:textId="77777777" w:rsidR="000F7B8B" w:rsidRPr="00747E4C" w:rsidRDefault="000F7B8B" w:rsidP="000F7B8B">
      <w:pPr>
        <w:pStyle w:val="slovanseznam"/>
        <w:numPr>
          <w:ilvl w:val="0"/>
          <w:numId w:val="14"/>
        </w:numPr>
        <w:spacing w:line="240" w:lineRule="auto"/>
        <w:rPr>
          <w:iCs/>
          <w:snapToGrid w:val="0"/>
          <w:sz w:val="22"/>
          <w:szCs w:val="22"/>
        </w:rPr>
      </w:pPr>
      <w:r w:rsidRPr="00747E4C">
        <w:rPr>
          <w:iCs/>
          <w:snapToGrid w:val="0"/>
          <w:sz w:val="22"/>
          <w:szCs w:val="22"/>
        </w:rPr>
        <w:t>Součástí Rozhodnutí jsou tyto přílohy:</w:t>
      </w:r>
    </w:p>
    <w:p w14:paraId="35B346F5" w14:textId="77777777" w:rsidR="000F7B8B" w:rsidRPr="00747E4C" w:rsidRDefault="000F7B8B" w:rsidP="000F7B8B">
      <w:pPr>
        <w:pStyle w:val="slovanseznam"/>
        <w:numPr>
          <w:ilvl w:val="0"/>
          <w:numId w:val="6"/>
        </w:numPr>
        <w:spacing w:line="240" w:lineRule="auto"/>
        <w:rPr>
          <w:iCs/>
          <w:snapToGrid w:val="0"/>
          <w:sz w:val="22"/>
          <w:szCs w:val="22"/>
        </w:rPr>
      </w:pPr>
      <w:r w:rsidRPr="00747E4C">
        <w:rPr>
          <w:iCs/>
          <w:snapToGrid w:val="0"/>
          <w:sz w:val="22"/>
          <w:szCs w:val="22"/>
        </w:rPr>
        <w:t>Příloha č. 1 – Žádost o podporu</w:t>
      </w:r>
    </w:p>
    <w:p w14:paraId="39B5FB06" w14:textId="77777777" w:rsidR="000F7B8B" w:rsidRPr="00747E4C" w:rsidRDefault="00531512" w:rsidP="000F7B8B">
      <w:pPr>
        <w:pStyle w:val="slovanseznam"/>
        <w:numPr>
          <w:ilvl w:val="0"/>
          <w:numId w:val="6"/>
        </w:numPr>
        <w:spacing w:line="240" w:lineRule="auto"/>
        <w:rPr>
          <w:iCs/>
          <w:snapToGrid w:val="0"/>
          <w:sz w:val="22"/>
          <w:szCs w:val="22"/>
        </w:rPr>
      </w:pPr>
      <w:r>
        <w:rPr>
          <w:iCs/>
          <w:snapToGrid w:val="0"/>
          <w:sz w:val="22"/>
          <w:szCs w:val="22"/>
          <w:shd w:val="clear" w:color="auto" w:fill="D9D9D9" w:themeFill="background1" w:themeFillShade="D9"/>
        </w:rPr>
        <w:t>Příloha č. 2 – Rozpočet projektu</w:t>
      </w:r>
    </w:p>
    <w:p w14:paraId="156BDCBD" w14:textId="77777777" w:rsidR="000F7B8B" w:rsidRDefault="000F7B8B" w:rsidP="000F7B8B">
      <w:pPr>
        <w:pStyle w:val="slovanseznam"/>
        <w:numPr>
          <w:ilvl w:val="0"/>
          <w:numId w:val="14"/>
        </w:numPr>
        <w:spacing w:line="240" w:lineRule="auto"/>
        <w:rPr>
          <w:iCs/>
          <w:snapToGrid w:val="0"/>
          <w:sz w:val="22"/>
          <w:szCs w:val="22"/>
        </w:rPr>
      </w:pPr>
      <w:r w:rsidRPr="00747E4C">
        <w:rPr>
          <w:iCs/>
          <w:snapToGrid w:val="0"/>
          <w:sz w:val="22"/>
          <w:szCs w:val="22"/>
        </w:rPr>
        <w:t xml:space="preserve">Veškeré změny Rozhodnutí je možné provádět pouze na základě žádosti příjemce dotace. Změny projektu lze provádět v režimu nepodstatné změny nebo podstatné změny. Podstatná změna ve vymezených případech dle pravidel NP AMIF vyžaduje vydání rozhodnutí o změně tohoto Rozhodnutí, v ostatních vymezených případech dle pravidel NP AMIF je podstatná změna schválena rozhodnutím poskytovatele. Nepodstatné změny lze provádět bez souhlasu poskytovatele. Podrobnosti stanoví pravidla NP AMIF. </w:t>
      </w:r>
    </w:p>
    <w:p w14:paraId="6600040B" w14:textId="77777777" w:rsidR="00C31C80" w:rsidRPr="008202EC" w:rsidRDefault="00C31C80" w:rsidP="008202EC">
      <w:pPr>
        <w:spacing w:before="360"/>
        <w:jc w:val="center"/>
        <w:rPr>
          <w:b/>
        </w:rPr>
      </w:pPr>
      <w:r w:rsidRPr="008202EC">
        <w:rPr>
          <w:rFonts w:cs="Arial"/>
          <w:b/>
        </w:rPr>
        <w:t>Část VIII</w:t>
      </w:r>
    </w:p>
    <w:p w14:paraId="29A7FB7B" w14:textId="77777777" w:rsidR="00C31C80" w:rsidRPr="008202EC" w:rsidRDefault="00C31C80" w:rsidP="008202EC">
      <w:pPr>
        <w:jc w:val="center"/>
        <w:rPr>
          <w:b/>
        </w:rPr>
      </w:pPr>
      <w:r w:rsidRPr="008202EC">
        <w:rPr>
          <w:rFonts w:cs="Arial"/>
          <w:b/>
        </w:rPr>
        <w:t>Poučení</w:t>
      </w:r>
    </w:p>
    <w:p w14:paraId="2C675D39" w14:textId="77777777" w:rsidR="00C31C80" w:rsidRPr="001972C8" w:rsidRDefault="00ED3D20" w:rsidP="001972C8">
      <w:pPr>
        <w:pStyle w:val="slovanseznam"/>
        <w:numPr>
          <w:ilvl w:val="0"/>
          <w:numId w:val="28"/>
        </w:numPr>
        <w:spacing w:line="240" w:lineRule="auto"/>
        <w:rPr>
          <w:iCs/>
          <w:snapToGrid w:val="0"/>
          <w:sz w:val="22"/>
          <w:szCs w:val="22"/>
        </w:rPr>
      </w:pPr>
      <w:r w:rsidRPr="001972C8">
        <w:rPr>
          <w:iCs/>
          <w:snapToGrid w:val="0"/>
          <w:sz w:val="22"/>
          <w:szCs w:val="22"/>
        </w:rPr>
        <w:lastRenderedPageBreak/>
        <w:t>Proti tomuto rozhodnutí není v souladu s § 14q odst. 2 zákona č. 218/2000 Sb., o rozpočtových pravidlech a o změně některých souvisejících zákonů (rozpočtová pravidla), ve znění pozdějších předpisů, odvolání ani rozklad.</w:t>
      </w:r>
    </w:p>
    <w:p w14:paraId="14702EBF" w14:textId="3C90028A" w:rsidR="00531512" w:rsidRPr="001972C8" w:rsidRDefault="00C31C80" w:rsidP="001972C8">
      <w:pPr>
        <w:pStyle w:val="slovanseznam"/>
        <w:numPr>
          <w:ilvl w:val="0"/>
          <w:numId w:val="28"/>
        </w:numPr>
        <w:spacing w:line="240" w:lineRule="auto"/>
        <w:rPr>
          <w:iCs/>
          <w:snapToGrid w:val="0"/>
          <w:sz w:val="22"/>
          <w:szCs w:val="22"/>
        </w:rPr>
      </w:pPr>
      <w:r w:rsidRPr="001972C8">
        <w:rPr>
          <w:iCs/>
          <w:snapToGrid w:val="0"/>
          <w:sz w:val="22"/>
          <w:szCs w:val="22"/>
        </w:rPr>
        <w:t>Za podmínek stanovených v § 15 rozpočtových pravidel může být zahájeno řízení o odnětí dotace. Na řízení o odnětí dotace se vztahují obecné předpisy o správním řízení.</w:t>
      </w:r>
    </w:p>
    <w:p w14:paraId="2EBE2377" w14:textId="77777777" w:rsidR="008202EC" w:rsidRDefault="008202EC" w:rsidP="000F7B8B">
      <w:pPr>
        <w:rPr>
          <w:rFonts w:cs="Arial"/>
        </w:rPr>
      </w:pPr>
    </w:p>
    <w:p w14:paraId="4F634A0C" w14:textId="77777777" w:rsidR="000F7B8B" w:rsidRPr="00747E4C" w:rsidRDefault="000F7B8B" w:rsidP="000F7B8B">
      <w:pPr>
        <w:rPr>
          <w:rFonts w:cs="Arial"/>
        </w:rPr>
      </w:pPr>
      <w:r w:rsidRPr="00747E4C">
        <w:rPr>
          <w:rFonts w:cs="Arial"/>
        </w:rPr>
        <w:t xml:space="preserve">V Praze </w:t>
      </w:r>
    </w:p>
    <w:p w14:paraId="2F1C8295" w14:textId="77777777" w:rsidR="00993D40" w:rsidRDefault="000F7B8B" w:rsidP="000F7B8B">
      <w:pPr>
        <w:rPr>
          <w:rFonts w:cs="Arial"/>
        </w:rPr>
      </w:pPr>
      <w:r>
        <w:rPr>
          <w:rFonts w:cs="Arial"/>
          <w:i/>
        </w:rPr>
        <w:tab/>
      </w:r>
      <w:r>
        <w:rPr>
          <w:rFonts w:cs="Arial"/>
          <w:i/>
        </w:rPr>
        <w:tab/>
      </w:r>
      <w:r>
        <w:rPr>
          <w:rFonts w:cs="Arial"/>
          <w:i/>
        </w:rPr>
        <w:tab/>
      </w:r>
      <w:r>
        <w:rPr>
          <w:rFonts w:cs="Arial"/>
          <w:i/>
        </w:rPr>
        <w:tab/>
      </w:r>
      <w:r>
        <w:rPr>
          <w:rFonts w:cs="Arial"/>
          <w:i/>
        </w:rPr>
        <w:tab/>
      </w:r>
      <w:r>
        <w:rPr>
          <w:rFonts w:cs="Arial"/>
          <w:i/>
        </w:rPr>
        <w:tab/>
      </w:r>
      <w:r w:rsidRPr="00747E4C">
        <w:rPr>
          <w:rFonts w:cs="Arial"/>
        </w:rPr>
        <w:t>…………………………………………………………..</w:t>
      </w:r>
    </w:p>
    <w:p w14:paraId="73CA47E5" w14:textId="77777777" w:rsidR="001859E6" w:rsidRPr="00993D40" w:rsidRDefault="000F7B8B" w:rsidP="00993D40">
      <w:pPr>
        <w:ind w:left="1416" w:firstLine="708"/>
        <w:rPr>
          <w:rFonts w:cs="Arial"/>
        </w:rPr>
      </w:pPr>
      <w:r w:rsidRPr="00747E4C">
        <w:rPr>
          <w:rFonts w:cs="Arial"/>
        </w:rPr>
        <w:t>(podpis osoby oprávněné vydat rozhodnutí a</w:t>
      </w:r>
      <w:r w:rsidR="00993D40">
        <w:rPr>
          <w:rFonts w:cs="Arial"/>
        </w:rPr>
        <w:t xml:space="preserve"> </w:t>
      </w:r>
      <w:r w:rsidRPr="00747E4C">
        <w:rPr>
          <w:rFonts w:cs="Arial"/>
        </w:rPr>
        <w:t>uvedení jejího jména a funkce)</w:t>
      </w:r>
    </w:p>
    <w:sectPr w:rsidR="001859E6" w:rsidRPr="00993D4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2255A5" w14:textId="77777777" w:rsidR="004A4A14" w:rsidRDefault="004A4A14" w:rsidP="000F7B8B">
      <w:pPr>
        <w:spacing w:after="0" w:line="240" w:lineRule="auto"/>
      </w:pPr>
      <w:r>
        <w:separator/>
      </w:r>
    </w:p>
  </w:endnote>
  <w:endnote w:type="continuationSeparator" w:id="0">
    <w:p w14:paraId="6FE2E81E" w14:textId="77777777" w:rsidR="004A4A14" w:rsidRDefault="004A4A14" w:rsidP="000F7B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6DE8C5" w14:textId="77777777" w:rsidR="004A4A14" w:rsidRDefault="004A4A14" w:rsidP="000F7B8B">
      <w:pPr>
        <w:spacing w:after="0" w:line="240" w:lineRule="auto"/>
      </w:pPr>
      <w:r>
        <w:separator/>
      </w:r>
    </w:p>
  </w:footnote>
  <w:footnote w:type="continuationSeparator" w:id="0">
    <w:p w14:paraId="06CCADE0" w14:textId="77777777" w:rsidR="004A4A14" w:rsidRDefault="004A4A14" w:rsidP="000F7B8B">
      <w:pPr>
        <w:spacing w:after="0" w:line="240" w:lineRule="auto"/>
      </w:pPr>
      <w:r>
        <w:continuationSeparator/>
      </w:r>
    </w:p>
  </w:footnote>
  <w:footnote w:id="1">
    <w:p w14:paraId="1A19B61F" w14:textId="77777777" w:rsidR="00ED3D20" w:rsidRDefault="00ED3D20">
      <w:pPr>
        <w:pStyle w:val="Textpoznpodarou"/>
      </w:pPr>
      <w:r>
        <w:rPr>
          <w:rStyle w:val="Znakapoznpodarou"/>
        </w:rPr>
        <w:footnoteRef/>
      </w:r>
      <w:r>
        <w:t xml:space="preserve"> Datum podpisu žádosti o podporu, poslední verze před vydáním právního aktu (tj. po zapracování případných podmínek)</w:t>
      </w:r>
    </w:p>
  </w:footnote>
  <w:footnote w:id="2">
    <w:p w14:paraId="676C85B9" w14:textId="77777777" w:rsidR="005609FC" w:rsidRPr="00B72B66" w:rsidRDefault="005609FC" w:rsidP="000F7B8B">
      <w:pPr>
        <w:pStyle w:val="Textpoznpodarou"/>
        <w:rPr>
          <w:sz w:val="20"/>
        </w:rPr>
      </w:pPr>
      <w:r w:rsidRPr="00C16DD0">
        <w:rPr>
          <w:rStyle w:val="Znakapoznpodarou"/>
          <w:rFonts w:eastAsiaTheme="majorEastAsia"/>
          <w:sz w:val="18"/>
          <w:szCs w:val="18"/>
        </w:rPr>
        <w:footnoteRef/>
      </w:r>
      <w:r w:rsidRPr="00C16DD0">
        <w:rPr>
          <w:sz w:val="18"/>
          <w:szCs w:val="18"/>
        </w:rPr>
        <w:t xml:space="preserve"> </w:t>
      </w:r>
      <w:r w:rsidRPr="00B72B66">
        <w:rPr>
          <w:sz w:val="20"/>
        </w:rPr>
        <w:t>Rozdělení není nezbytnou součástí právního aktu u projektů, které jsou plně financovány v některém z režimů zjednodušeného vykazování výdajů.</w:t>
      </w:r>
    </w:p>
  </w:footnote>
  <w:footnote w:id="3">
    <w:p w14:paraId="4952E877" w14:textId="77777777" w:rsidR="000F7B8B" w:rsidRPr="00037E7C" w:rsidRDefault="000F7B8B" w:rsidP="000F7B8B">
      <w:pPr>
        <w:pStyle w:val="Textpoznpodarou"/>
        <w:rPr>
          <w:sz w:val="20"/>
        </w:rPr>
      </w:pPr>
      <w:r w:rsidRPr="00C16DD0">
        <w:rPr>
          <w:rStyle w:val="Znakapoznpodarou"/>
          <w:rFonts w:eastAsiaTheme="majorEastAsia"/>
          <w:sz w:val="18"/>
          <w:szCs w:val="18"/>
        </w:rPr>
        <w:footnoteRef/>
      </w:r>
      <w:r w:rsidRPr="00C16DD0">
        <w:rPr>
          <w:sz w:val="18"/>
          <w:szCs w:val="18"/>
        </w:rPr>
        <w:t xml:space="preserve"> </w:t>
      </w:r>
      <w:r w:rsidRPr="00037E7C">
        <w:rPr>
          <w:sz w:val="20"/>
        </w:rPr>
        <w:t>Vložit formulaci účelu dotace.</w:t>
      </w:r>
    </w:p>
  </w:footnote>
  <w:footnote w:id="4">
    <w:p w14:paraId="6574DDD8" w14:textId="77777777" w:rsidR="000F7B8B" w:rsidRPr="00827675" w:rsidRDefault="000F7B8B" w:rsidP="000F7B8B">
      <w:pPr>
        <w:pStyle w:val="Textpoznpodarou"/>
        <w:tabs>
          <w:tab w:val="left" w:pos="180"/>
        </w:tabs>
        <w:ind w:left="181" w:hanging="181"/>
        <w:rPr>
          <w:sz w:val="20"/>
        </w:rPr>
      </w:pPr>
      <w:r>
        <w:rPr>
          <w:rStyle w:val="Znakapoznpodarou"/>
          <w:rFonts w:eastAsiaTheme="majorEastAsia"/>
        </w:rPr>
        <w:footnoteRef/>
      </w:r>
      <w:r>
        <w:tab/>
      </w:r>
      <w:r w:rsidRPr="00827675">
        <w:rPr>
          <w:sz w:val="20"/>
        </w:rPr>
        <w:t>§ 44a odstavce 11 zákona č. 218/2000 Sb., o rozpočtových pravidlech, stanovuje, že odvod a penále lze vyměřit do 10 let od 1. ledna roku následujícího po roce, v němž došlo k porušení rozpočtové kázně. Po tuto dobu by měly být dokumenty archivovány. Pokud příjemce dotace neprokáže, jak byly prostředky použity, je to považováno za neoprávněné použití peněžních prostředků dle § 3 písmo e) zákona č. 218/2000 Sb., o</w:t>
      </w:r>
      <w:r>
        <w:rPr>
          <w:sz w:val="20"/>
        </w:rPr>
        <w:t> </w:t>
      </w:r>
      <w:r w:rsidRPr="00827675">
        <w:rPr>
          <w:sz w:val="20"/>
        </w:rPr>
        <w:t>rozpočtových pravidlech.</w:t>
      </w:r>
    </w:p>
  </w:footnote>
  <w:footnote w:id="5">
    <w:p w14:paraId="4F6F8BCC" w14:textId="77777777" w:rsidR="000F7B8B" w:rsidRPr="00831BE5" w:rsidRDefault="000F7B8B" w:rsidP="000F7B8B">
      <w:pPr>
        <w:pStyle w:val="Textpoznpodarou"/>
        <w:tabs>
          <w:tab w:val="left" w:pos="360"/>
        </w:tabs>
        <w:ind w:left="181" w:hanging="181"/>
        <w:rPr>
          <w:sz w:val="20"/>
        </w:rPr>
      </w:pPr>
      <w:r>
        <w:rPr>
          <w:rStyle w:val="Znakapoznpodarou"/>
          <w:rFonts w:eastAsiaTheme="majorEastAsia"/>
        </w:rPr>
        <w:footnoteRef/>
      </w:r>
      <w:r>
        <w:tab/>
      </w:r>
      <w:r w:rsidRPr="00831BE5">
        <w:rPr>
          <w:sz w:val="20"/>
        </w:rPr>
        <w:t>Ustanovení se použije, pouze pokud má příjemce v projektu alespoň jednoho partnera s finančním příspěvkem.</w:t>
      </w:r>
    </w:p>
  </w:footnote>
  <w:footnote w:id="6">
    <w:p w14:paraId="0552F345" w14:textId="77777777" w:rsidR="000F7B8B" w:rsidRPr="008B3247" w:rsidRDefault="000F7B8B" w:rsidP="000F7B8B">
      <w:pPr>
        <w:pStyle w:val="Textpoznpodarou"/>
        <w:rPr>
          <w:sz w:val="20"/>
        </w:rPr>
      </w:pPr>
      <w:r w:rsidRPr="008B3247">
        <w:rPr>
          <w:rStyle w:val="Znakapoznpodarou"/>
          <w:sz w:val="20"/>
        </w:rPr>
        <w:footnoteRef/>
      </w:r>
      <w:r w:rsidRPr="008B3247">
        <w:rPr>
          <w:sz w:val="20"/>
        </w:rPr>
        <w:t xml:space="preserve"> Bude uvedenou pouze v případě, je-li v projektu aplikováno partnerství a současně</w:t>
      </w:r>
      <w:r>
        <w:rPr>
          <w:sz w:val="20"/>
        </w:rPr>
        <w:t xml:space="preserve"> je</w:t>
      </w:r>
      <w:r w:rsidRPr="008B3247">
        <w:rPr>
          <w:sz w:val="20"/>
        </w:rPr>
        <w:t xml:space="preserve"> tak uveden </w:t>
      </w:r>
      <w:r>
        <w:rPr>
          <w:sz w:val="20"/>
        </w:rPr>
        <w:t>bod</w:t>
      </w:r>
      <w:r w:rsidRPr="008B3247">
        <w:rPr>
          <w:sz w:val="20"/>
        </w:rPr>
        <w:t xml:space="preserve"> 16 v části II </w:t>
      </w:r>
      <w:r>
        <w:rPr>
          <w:sz w:val="20"/>
        </w:rPr>
        <w:t>tohoto Rozhodnutí.</w:t>
      </w:r>
    </w:p>
  </w:footnote>
  <w:footnote w:id="7">
    <w:p w14:paraId="5A4B4F98" w14:textId="77777777" w:rsidR="000F7B8B" w:rsidRPr="00B72B66" w:rsidRDefault="000F7B8B" w:rsidP="000F7B8B">
      <w:pPr>
        <w:pStyle w:val="Textpoznpodarou"/>
        <w:tabs>
          <w:tab w:val="left" w:pos="180"/>
        </w:tabs>
        <w:ind w:left="181" w:hanging="181"/>
        <w:rPr>
          <w:sz w:val="20"/>
        </w:rPr>
      </w:pPr>
      <w:r>
        <w:rPr>
          <w:rStyle w:val="Znakapoznpodarou"/>
          <w:rFonts w:eastAsiaTheme="majorEastAsia"/>
        </w:rPr>
        <w:footnoteRef/>
      </w:r>
      <w:r>
        <w:tab/>
      </w:r>
      <w:r w:rsidRPr="00827675">
        <w:rPr>
          <w:sz w:val="20"/>
        </w:rPr>
        <w:t>Podle § 14 odst. 4 písm. k) rozpočtových pravidel lze určit, že porušení některé z povinností stanovených v rozhodnutí o poskytnutí dotace nejsou porušením rozpočtové kázně. Takto ale nelze postupovat u povinností stanovených právními předpisy</w:t>
      </w:r>
      <w:r w:rsidRPr="00B72B66">
        <w:rPr>
          <w:sz w:val="20"/>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multilevel"/>
    <w:tmpl w:val="CE7E4E06"/>
    <w:lvl w:ilvl="0">
      <w:start w:val="1"/>
      <w:numFmt w:val="decimal"/>
      <w:lvlText w:val="2.%1."/>
      <w:lvlJc w:val="left"/>
      <w:pPr>
        <w:tabs>
          <w:tab w:val="num" w:pos="360"/>
        </w:tabs>
        <w:ind w:left="360" w:hanging="360"/>
      </w:pPr>
      <w:rPr>
        <w:rFonts w:hint="default"/>
      </w:rPr>
    </w:lvl>
    <w:lvl w:ilvl="1">
      <w:start w:val="1"/>
      <w:numFmt w:val="decimal"/>
      <w:lvlText w:val="2.%2"/>
      <w:lvlJc w:val="left"/>
      <w:pPr>
        <w:tabs>
          <w:tab w:val="num" w:pos="720"/>
        </w:tabs>
        <w:ind w:left="720" w:hanging="720"/>
      </w:pPr>
      <w:rPr>
        <w:rFonts w:hint="default"/>
        <w:sz w:val="24"/>
        <w:szCs w:val="24"/>
      </w:rPr>
    </w:lvl>
    <w:lvl w:ilvl="2">
      <w:start w:val="1"/>
      <w:numFmt w:val="decimal"/>
      <w:isLgl/>
      <w:lvlText w:val="%1.%2.%3."/>
      <w:lvlJc w:val="left"/>
      <w:pPr>
        <w:tabs>
          <w:tab w:val="num" w:pos="1258"/>
        </w:tabs>
        <w:ind w:left="1258" w:hanging="720"/>
      </w:pPr>
      <w:rPr>
        <w:rFonts w:hint="default"/>
      </w:rPr>
    </w:lvl>
    <w:lvl w:ilvl="3">
      <w:start w:val="1"/>
      <w:numFmt w:val="decimal"/>
      <w:isLgl/>
      <w:lvlText w:val="%1.%2.%3.%4."/>
      <w:lvlJc w:val="left"/>
      <w:pPr>
        <w:tabs>
          <w:tab w:val="num" w:pos="1958"/>
        </w:tabs>
        <w:ind w:left="1958" w:hanging="1080"/>
      </w:pPr>
      <w:rPr>
        <w:rFonts w:hint="default"/>
      </w:rPr>
    </w:lvl>
    <w:lvl w:ilvl="4">
      <w:start w:val="1"/>
      <w:numFmt w:val="decimal"/>
      <w:isLgl/>
      <w:lvlText w:val="%1.%2.%3.%4.%5."/>
      <w:lvlJc w:val="left"/>
      <w:pPr>
        <w:tabs>
          <w:tab w:val="num" w:pos="2298"/>
        </w:tabs>
        <w:ind w:left="2298" w:hanging="1080"/>
      </w:pPr>
      <w:rPr>
        <w:rFonts w:hint="default"/>
      </w:rPr>
    </w:lvl>
    <w:lvl w:ilvl="5">
      <w:start w:val="1"/>
      <w:numFmt w:val="decimal"/>
      <w:isLgl/>
      <w:lvlText w:val="%1.%2.%3.%4.%5.%6."/>
      <w:lvlJc w:val="left"/>
      <w:pPr>
        <w:tabs>
          <w:tab w:val="num" w:pos="2998"/>
        </w:tabs>
        <w:ind w:left="2998" w:hanging="1440"/>
      </w:pPr>
      <w:rPr>
        <w:rFonts w:hint="default"/>
      </w:rPr>
    </w:lvl>
    <w:lvl w:ilvl="6">
      <w:start w:val="1"/>
      <w:numFmt w:val="decimal"/>
      <w:isLgl/>
      <w:lvlText w:val="%1.%2.%3.%4.%5.%6.%7."/>
      <w:lvlJc w:val="left"/>
      <w:pPr>
        <w:tabs>
          <w:tab w:val="num" w:pos="3338"/>
        </w:tabs>
        <w:ind w:left="3338" w:hanging="1440"/>
      </w:pPr>
      <w:rPr>
        <w:rFonts w:hint="default"/>
      </w:rPr>
    </w:lvl>
    <w:lvl w:ilvl="7">
      <w:start w:val="1"/>
      <w:numFmt w:val="decimal"/>
      <w:isLgl/>
      <w:lvlText w:val="%1.%2.%3.%4.%5.%6.%7.%8."/>
      <w:lvlJc w:val="left"/>
      <w:pPr>
        <w:tabs>
          <w:tab w:val="num" w:pos="4038"/>
        </w:tabs>
        <w:ind w:left="4038" w:hanging="1800"/>
      </w:pPr>
      <w:rPr>
        <w:rFonts w:hint="default"/>
      </w:rPr>
    </w:lvl>
    <w:lvl w:ilvl="8">
      <w:start w:val="1"/>
      <w:numFmt w:val="decimal"/>
      <w:isLgl/>
      <w:lvlText w:val="%1.%2.%3.%4.%5.%6.%7.%8.%9."/>
      <w:lvlJc w:val="left"/>
      <w:pPr>
        <w:tabs>
          <w:tab w:val="num" w:pos="4378"/>
        </w:tabs>
        <w:ind w:left="4378" w:hanging="1800"/>
      </w:pPr>
      <w:rPr>
        <w:rFonts w:hint="default"/>
      </w:rPr>
    </w:lvl>
  </w:abstractNum>
  <w:abstractNum w:abstractNumId="1" w15:restartNumberingAfterBreak="0">
    <w:nsid w:val="003C1D90"/>
    <w:multiLevelType w:val="multilevel"/>
    <w:tmpl w:val="4484D9C6"/>
    <w:lvl w:ilvl="0">
      <w:start w:val="1"/>
      <w:numFmt w:val="decimal"/>
      <w:lvlText w:val="%1."/>
      <w:lvlJc w:val="left"/>
      <w:pPr>
        <w:ind w:left="360" w:hanging="360"/>
      </w:pPr>
      <w:rPr>
        <w:rFonts w:hint="default"/>
        <w:sz w:val="22"/>
        <w:szCs w:val="22"/>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05D746A5"/>
    <w:multiLevelType w:val="hybridMultilevel"/>
    <w:tmpl w:val="07EAEFB0"/>
    <w:lvl w:ilvl="0" w:tplc="B58EB38A">
      <w:start w:val="1"/>
      <w:numFmt w:val="decimal"/>
      <w:lvlText w:val="%1."/>
      <w:lvlJc w:val="left"/>
      <w:pPr>
        <w:ind w:left="360" w:hanging="360"/>
      </w:pPr>
      <w:rPr>
        <w:rFonts w:hint="default"/>
        <w:sz w:val="22"/>
        <w:szCs w:val="22"/>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 w15:restartNumberingAfterBreak="0">
    <w:nsid w:val="0B9A56FF"/>
    <w:multiLevelType w:val="multilevel"/>
    <w:tmpl w:val="81ECB2C2"/>
    <w:lvl w:ilvl="0">
      <w:start w:val="1"/>
      <w:numFmt w:val="decimal"/>
      <w:lvlText w:val="%1."/>
      <w:lvlJc w:val="left"/>
      <w:pPr>
        <w:ind w:left="360" w:hanging="360"/>
      </w:pPr>
      <w:rPr>
        <w:rFonts w:hint="default"/>
        <w:sz w:val="22"/>
        <w:szCs w:val="22"/>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0BD76CDA"/>
    <w:multiLevelType w:val="hybridMultilevel"/>
    <w:tmpl w:val="619C2F26"/>
    <w:lvl w:ilvl="0" w:tplc="04050001">
      <w:start w:val="1"/>
      <w:numFmt w:val="bullet"/>
      <w:lvlText w:val=""/>
      <w:lvlJc w:val="left"/>
      <w:pPr>
        <w:tabs>
          <w:tab w:val="num" w:pos="720"/>
        </w:tabs>
        <w:ind w:left="720" w:hanging="360"/>
      </w:pPr>
      <w:rPr>
        <w:rFonts w:ascii="Symbol" w:hAnsi="Symbol" w:hint="default"/>
        <w:color w:val="auto"/>
      </w:rPr>
    </w:lvl>
    <w:lvl w:ilvl="1" w:tplc="04050003">
      <w:start w:val="1"/>
      <w:numFmt w:val="bullet"/>
      <w:lvlText w:val="o"/>
      <w:lvlJc w:val="left"/>
      <w:pPr>
        <w:tabs>
          <w:tab w:val="num" w:pos="1800"/>
        </w:tabs>
        <w:ind w:left="1800" w:hanging="360"/>
      </w:pPr>
      <w:rPr>
        <w:rFonts w:ascii="Courier New" w:hAnsi="Courier New" w:hint="default"/>
      </w:rPr>
    </w:lvl>
    <w:lvl w:ilvl="2" w:tplc="04050005" w:tentative="1">
      <w:start w:val="1"/>
      <w:numFmt w:val="bullet"/>
      <w:lvlText w:val=""/>
      <w:lvlJc w:val="left"/>
      <w:pPr>
        <w:tabs>
          <w:tab w:val="num" w:pos="2520"/>
        </w:tabs>
        <w:ind w:left="2520" w:hanging="360"/>
      </w:pPr>
      <w:rPr>
        <w:rFonts w:ascii="Wingdings" w:hAnsi="Wingdings" w:hint="default"/>
      </w:rPr>
    </w:lvl>
    <w:lvl w:ilvl="3" w:tplc="04050001" w:tentative="1">
      <w:start w:val="1"/>
      <w:numFmt w:val="bullet"/>
      <w:lvlText w:val=""/>
      <w:lvlJc w:val="left"/>
      <w:pPr>
        <w:tabs>
          <w:tab w:val="num" w:pos="3240"/>
        </w:tabs>
        <w:ind w:left="3240" w:hanging="360"/>
      </w:pPr>
      <w:rPr>
        <w:rFonts w:ascii="Symbol" w:hAnsi="Symbol" w:hint="default"/>
      </w:rPr>
    </w:lvl>
    <w:lvl w:ilvl="4" w:tplc="04050003" w:tentative="1">
      <w:start w:val="1"/>
      <w:numFmt w:val="bullet"/>
      <w:lvlText w:val="o"/>
      <w:lvlJc w:val="left"/>
      <w:pPr>
        <w:tabs>
          <w:tab w:val="num" w:pos="3960"/>
        </w:tabs>
        <w:ind w:left="3960" w:hanging="360"/>
      </w:pPr>
      <w:rPr>
        <w:rFonts w:ascii="Courier New" w:hAnsi="Courier New" w:hint="default"/>
      </w:rPr>
    </w:lvl>
    <w:lvl w:ilvl="5" w:tplc="04050005" w:tentative="1">
      <w:start w:val="1"/>
      <w:numFmt w:val="bullet"/>
      <w:lvlText w:val=""/>
      <w:lvlJc w:val="left"/>
      <w:pPr>
        <w:tabs>
          <w:tab w:val="num" w:pos="4680"/>
        </w:tabs>
        <w:ind w:left="4680" w:hanging="360"/>
      </w:pPr>
      <w:rPr>
        <w:rFonts w:ascii="Wingdings" w:hAnsi="Wingdings" w:hint="default"/>
      </w:rPr>
    </w:lvl>
    <w:lvl w:ilvl="6" w:tplc="04050001" w:tentative="1">
      <w:start w:val="1"/>
      <w:numFmt w:val="bullet"/>
      <w:lvlText w:val=""/>
      <w:lvlJc w:val="left"/>
      <w:pPr>
        <w:tabs>
          <w:tab w:val="num" w:pos="5400"/>
        </w:tabs>
        <w:ind w:left="5400" w:hanging="360"/>
      </w:pPr>
      <w:rPr>
        <w:rFonts w:ascii="Symbol" w:hAnsi="Symbol" w:hint="default"/>
      </w:rPr>
    </w:lvl>
    <w:lvl w:ilvl="7" w:tplc="04050003" w:tentative="1">
      <w:start w:val="1"/>
      <w:numFmt w:val="bullet"/>
      <w:lvlText w:val="o"/>
      <w:lvlJc w:val="left"/>
      <w:pPr>
        <w:tabs>
          <w:tab w:val="num" w:pos="6120"/>
        </w:tabs>
        <w:ind w:left="6120" w:hanging="360"/>
      </w:pPr>
      <w:rPr>
        <w:rFonts w:ascii="Courier New" w:hAnsi="Courier New" w:hint="default"/>
      </w:rPr>
    </w:lvl>
    <w:lvl w:ilvl="8" w:tplc="0405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0F7F31EF"/>
    <w:multiLevelType w:val="hybridMultilevel"/>
    <w:tmpl w:val="98A0CD3A"/>
    <w:lvl w:ilvl="0" w:tplc="6B726E7C">
      <w:start w:val="1"/>
      <w:numFmt w:val="decimal"/>
      <w:lvlText w:val="%1."/>
      <w:lvlJc w:val="left"/>
      <w:pPr>
        <w:tabs>
          <w:tab w:val="num" w:pos="360"/>
        </w:tabs>
        <w:ind w:left="360" w:hanging="360"/>
      </w:pPr>
      <w:rPr>
        <w:rFonts w:hint="default"/>
      </w:rPr>
    </w:lvl>
    <w:lvl w:ilvl="1" w:tplc="04050001">
      <w:start w:val="1"/>
      <w:numFmt w:val="bullet"/>
      <w:lvlText w:val=""/>
      <w:lvlJc w:val="left"/>
      <w:pPr>
        <w:tabs>
          <w:tab w:val="num" w:pos="1080"/>
        </w:tabs>
        <w:ind w:left="1080" w:hanging="360"/>
      </w:pPr>
      <w:rPr>
        <w:rFonts w:ascii="Symbol" w:hAnsi="Symbol" w:hint="default"/>
      </w:r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6" w15:restartNumberingAfterBreak="0">
    <w:nsid w:val="108B50A7"/>
    <w:multiLevelType w:val="hybridMultilevel"/>
    <w:tmpl w:val="F48E8026"/>
    <w:lvl w:ilvl="0" w:tplc="B5EA6F52">
      <w:start w:val="1"/>
      <w:numFmt w:val="decimal"/>
      <w:lvlText w:val="%1."/>
      <w:lvlJc w:val="left"/>
      <w:pPr>
        <w:ind w:left="927" w:hanging="360"/>
      </w:pPr>
      <w:rPr>
        <w:rFonts w:hint="default"/>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7" w15:restartNumberingAfterBreak="0">
    <w:nsid w:val="10C336F8"/>
    <w:multiLevelType w:val="multilevel"/>
    <w:tmpl w:val="F6001B1C"/>
    <w:lvl w:ilvl="0">
      <w:start w:val="1"/>
      <w:numFmt w:val="decimal"/>
      <w:lvlText w:val="%1."/>
      <w:lvlJc w:val="left"/>
      <w:pPr>
        <w:ind w:left="360" w:hanging="360"/>
      </w:pPr>
      <w:rPr>
        <w:b/>
        <w:sz w:val="22"/>
        <w:szCs w:val="22"/>
      </w:rPr>
    </w:lvl>
    <w:lvl w:ilvl="1">
      <w:start w:val="1"/>
      <w:numFmt w:val="decimal"/>
      <w:isLgl/>
      <w:lvlText w:val="%1.%2."/>
      <w:lvlJc w:val="left"/>
      <w:pPr>
        <w:ind w:left="720" w:hanging="720"/>
      </w:pPr>
    </w:lvl>
    <w:lvl w:ilvl="2">
      <w:start w:val="1"/>
      <w:numFmt w:val="decimal"/>
      <w:isLgl/>
      <w:lvlText w:val="%1.%2.%3."/>
      <w:lvlJc w:val="left"/>
      <w:pPr>
        <w:ind w:left="720" w:hanging="720"/>
      </w:pPr>
    </w:lvl>
    <w:lvl w:ilvl="3">
      <w:start w:val="1"/>
      <w:numFmt w:val="decimal"/>
      <w:isLgl/>
      <w:lvlText w:val="%1.%2.%3.%4."/>
      <w:lvlJc w:val="left"/>
      <w:pPr>
        <w:ind w:left="1080" w:hanging="1080"/>
      </w:pPr>
    </w:lvl>
    <w:lvl w:ilvl="4">
      <w:start w:val="1"/>
      <w:numFmt w:val="decimal"/>
      <w:isLgl/>
      <w:lvlText w:val="%1.%2.%3.%4.%5."/>
      <w:lvlJc w:val="left"/>
      <w:pPr>
        <w:ind w:left="1080" w:hanging="1080"/>
      </w:pPr>
    </w:lvl>
    <w:lvl w:ilvl="5">
      <w:start w:val="1"/>
      <w:numFmt w:val="decimal"/>
      <w:isLgl/>
      <w:lvlText w:val="%1.%2.%3.%4.%5.%6."/>
      <w:lvlJc w:val="left"/>
      <w:pPr>
        <w:ind w:left="1440" w:hanging="1440"/>
      </w:pPr>
    </w:lvl>
    <w:lvl w:ilvl="6">
      <w:start w:val="1"/>
      <w:numFmt w:val="decimal"/>
      <w:isLgl/>
      <w:lvlText w:val="%1.%2.%3.%4.%5.%6.%7."/>
      <w:lvlJc w:val="left"/>
      <w:pPr>
        <w:ind w:left="1440" w:hanging="1440"/>
      </w:pPr>
    </w:lvl>
    <w:lvl w:ilvl="7">
      <w:start w:val="1"/>
      <w:numFmt w:val="decimal"/>
      <w:isLgl/>
      <w:lvlText w:val="%1.%2.%3.%4.%5.%6.%7.%8."/>
      <w:lvlJc w:val="left"/>
      <w:pPr>
        <w:ind w:left="1800" w:hanging="1800"/>
      </w:pPr>
    </w:lvl>
    <w:lvl w:ilvl="8">
      <w:start w:val="1"/>
      <w:numFmt w:val="decimal"/>
      <w:isLgl/>
      <w:lvlText w:val="%1.%2.%3.%4.%5.%6.%7.%8.%9."/>
      <w:lvlJc w:val="left"/>
      <w:pPr>
        <w:ind w:left="1800" w:hanging="1800"/>
      </w:pPr>
    </w:lvl>
  </w:abstractNum>
  <w:abstractNum w:abstractNumId="8" w15:restartNumberingAfterBreak="0">
    <w:nsid w:val="11FE696C"/>
    <w:multiLevelType w:val="multilevel"/>
    <w:tmpl w:val="2CF89410"/>
    <w:lvl w:ilvl="0">
      <w:start w:val="1"/>
      <w:numFmt w:val="decimal"/>
      <w:lvlText w:val="%1."/>
      <w:lvlJc w:val="left"/>
      <w:pPr>
        <w:ind w:left="360" w:hanging="360"/>
      </w:pPr>
      <w:rPr>
        <w:rFonts w:hint="default"/>
        <w:sz w:val="22"/>
        <w:szCs w:val="22"/>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9" w15:restartNumberingAfterBreak="0">
    <w:nsid w:val="17567DCD"/>
    <w:multiLevelType w:val="hybridMultilevel"/>
    <w:tmpl w:val="C9D0B4D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1C726B1F"/>
    <w:multiLevelType w:val="hybridMultilevel"/>
    <w:tmpl w:val="A38A8744"/>
    <w:lvl w:ilvl="0" w:tplc="D5EC48AC">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2F731C15"/>
    <w:multiLevelType w:val="multilevel"/>
    <w:tmpl w:val="75384AC2"/>
    <w:lvl w:ilvl="0">
      <w:start w:val="1"/>
      <w:numFmt w:val="decimal"/>
      <w:lvlText w:val="%1."/>
      <w:lvlJc w:val="left"/>
      <w:pPr>
        <w:ind w:left="360" w:hanging="360"/>
      </w:pPr>
      <w:rPr>
        <w:rFonts w:hint="default"/>
        <w:sz w:val="22"/>
        <w:szCs w:val="22"/>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2" w15:restartNumberingAfterBreak="0">
    <w:nsid w:val="34B25B72"/>
    <w:multiLevelType w:val="multilevel"/>
    <w:tmpl w:val="FBBE5600"/>
    <w:lvl w:ilvl="0">
      <w:start w:val="1"/>
      <w:numFmt w:val="decimal"/>
      <w:lvlText w:val="%1."/>
      <w:lvlJc w:val="left"/>
      <w:pPr>
        <w:ind w:left="360" w:hanging="360"/>
      </w:pPr>
      <w:rPr>
        <w:sz w:val="22"/>
        <w:szCs w:val="22"/>
      </w:rPr>
    </w:lvl>
    <w:lvl w:ilvl="1">
      <w:start w:val="1"/>
      <w:numFmt w:val="decimal"/>
      <w:isLgl/>
      <w:lvlText w:val="%1.%2."/>
      <w:lvlJc w:val="left"/>
      <w:pPr>
        <w:ind w:left="720" w:hanging="720"/>
      </w:pPr>
    </w:lvl>
    <w:lvl w:ilvl="2">
      <w:start w:val="1"/>
      <w:numFmt w:val="decimal"/>
      <w:isLgl/>
      <w:lvlText w:val="%1.%2.%3."/>
      <w:lvlJc w:val="left"/>
      <w:pPr>
        <w:ind w:left="720" w:hanging="720"/>
      </w:pPr>
    </w:lvl>
    <w:lvl w:ilvl="3">
      <w:start w:val="1"/>
      <w:numFmt w:val="decimal"/>
      <w:isLgl/>
      <w:lvlText w:val="%1.%2.%3.%4."/>
      <w:lvlJc w:val="left"/>
      <w:pPr>
        <w:ind w:left="1080" w:hanging="1080"/>
      </w:pPr>
    </w:lvl>
    <w:lvl w:ilvl="4">
      <w:start w:val="1"/>
      <w:numFmt w:val="decimal"/>
      <w:isLgl/>
      <w:lvlText w:val="%1.%2.%3.%4.%5."/>
      <w:lvlJc w:val="left"/>
      <w:pPr>
        <w:ind w:left="1080" w:hanging="1080"/>
      </w:pPr>
    </w:lvl>
    <w:lvl w:ilvl="5">
      <w:start w:val="1"/>
      <w:numFmt w:val="decimal"/>
      <w:isLgl/>
      <w:lvlText w:val="%1.%2.%3.%4.%5.%6."/>
      <w:lvlJc w:val="left"/>
      <w:pPr>
        <w:ind w:left="1440" w:hanging="1440"/>
      </w:pPr>
    </w:lvl>
    <w:lvl w:ilvl="6">
      <w:start w:val="1"/>
      <w:numFmt w:val="decimal"/>
      <w:isLgl/>
      <w:lvlText w:val="%1.%2.%3.%4.%5.%6.%7."/>
      <w:lvlJc w:val="left"/>
      <w:pPr>
        <w:ind w:left="1440" w:hanging="1440"/>
      </w:pPr>
    </w:lvl>
    <w:lvl w:ilvl="7">
      <w:start w:val="1"/>
      <w:numFmt w:val="decimal"/>
      <w:isLgl/>
      <w:lvlText w:val="%1.%2.%3.%4.%5.%6.%7.%8."/>
      <w:lvlJc w:val="left"/>
      <w:pPr>
        <w:ind w:left="1800" w:hanging="1800"/>
      </w:pPr>
    </w:lvl>
    <w:lvl w:ilvl="8">
      <w:start w:val="1"/>
      <w:numFmt w:val="decimal"/>
      <w:isLgl/>
      <w:lvlText w:val="%1.%2.%3.%4.%5.%6.%7.%8.%9."/>
      <w:lvlJc w:val="left"/>
      <w:pPr>
        <w:ind w:left="1800" w:hanging="1800"/>
      </w:pPr>
    </w:lvl>
  </w:abstractNum>
  <w:abstractNum w:abstractNumId="13" w15:restartNumberingAfterBreak="0">
    <w:nsid w:val="38D16BCE"/>
    <w:multiLevelType w:val="hybridMultilevel"/>
    <w:tmpl w:val="98A0CD3A"/>
    <w:lvl w:ilvl="0" w:tplc="6B726E7C">
      <w:start w:val="1"/>
      <w:numFmt w:val="decimal"/>
      <w:lvlText w:val="%1."/>
      <w:lvlJc w:val="left"/>
      <w:pPr>
        <w:tabs>
          <w:tab w:val="num" w:pos="360"/>
        </w:tabs>
        <w:ind w:left="360" w:hanging="360"/>
      </w:pPr>
      <w:rPr>
        <w:rFonts w:hint="default"/>
      </w:rPr>
    </w:lvl>
    <w:lvl w:ilvl="1" w:tplc="04050001">
      <w:start w:val="1"/>
      <w:numFmt w:val="bullet"/>
      <w:lvlText w:val=""/>
      <w:lvlJc w:val="left"/>
      <w:pPr>
        <w:tabs>
          <w:tab w:val="num" w:pos="1080"/>
        </w:tabs>
        <w:ind w:left="1080" w:hanging="360"/>
      </w:pPr>
      <w:rPr>
        <w:rFonts w:ascii="Symbol" w:hAnsi="Symbol" w:hint="default"/>
      </w:r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14" w15:restartNumberingAfterBreak="0">
    <w:nsid w:val="445419C6"/>
    <w:multiLevelType w:val="hybridMultilevel"/>
    <w:tmpl w:val="57B8C4C8"/>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46AA1BB6"/>
    <w:multiLevelType w:val="hybridMultilevel"/>
    <w:tmpl w:val="AD902268"/>
    <w:lvl w:ilvl="0" w:tplc="04050001">
      <w:start w:val="1"/>
      <w:numFmt w:val="bullet"/>
      <w:lvlText w:val=""/>
      <w:lvlJc w:val="left"/>
      <w:pPr>
        <w:ind w:left="1068" w:hanging="360"/>
      </w:pPr>
      <w:rPr>
        <w:rFonts w:ascii="Symbol" w:hAnsi="Symbol"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16" w15:restartNumberingAfterBreak="0">
    <w:nsid w:val="47623451"/>
    <w:multiLevelType w:val="hybridMultilevel"/>
    <w:tmpl w:val="999680B8"/>
    <w:lvl w:ilvl="0" w:tplc="04050003">
      <w:start w:val="1"/>
      <w:numFmt w:val="bullet"/>
      <w:lvlText w:val="o"/>
      <w:lvlJc w:val="left"/>
      <w:pPr>
        <w:ind w:left="720" w:hanging="360"/>
      </w:pPr>
      <w:rPr>
        <w:rFonts w:ascii="Courier New" w:hAnsi="Courier New" w:cs="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52873E22"/>
    <w:multiLevelType w:val="multilevel"/>
    <w:tmpl w:val="6CD23B48"/>
    <w:lvl w:ilvl="0">
      <w:start w:val="1"/>
      <w:numFmt w:val="decimal"/>
      <w:lvlText w:val="%1."/>
      <w:lvlJc w:val="left"/>
      <w:pPr>
        <w:ind w:left="360" w:hanging="360"/>
      </w:pPr>
      <w:rPr>
        <w:rFonts w:hint="default"/>
        <w:sz w:val="22"/>
        <w:szCs w:val="22"/>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55E62A8D"/>
    <w:multiLevelType w:val="hybridMultilevel"/>
    <w:tmpl w:val="45C275A4"/>
    <w:lvl w:ilvl="0" w:tplc="04050001">
      <w:start w:val="1"/>
      <w:numFmt w:val="bullet"/>
      <w:lvlText w:val=""/>
      <w:lvlJc w:val="left"/>
      <w:pPr>
        <w:ind w:left="1068" w:hanging="360"/>
      </w:pPr>
      <w:rPr>
        <w:rFonts w:ascii="Symbol" w:hAnsi="Symbol" w:hint="default"/>
      </w:rPr>
    </w:lvl>
    <w:lvl w:ilvl="1" w:tplc="04050003">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19" w15:restartNumberingAfterBreak="0">
    <w:nsid w:val="58797376"/>
    <w:multiLevelType w:val="hybridMultilevel"/>
    <w:tmpl w:val="3AF64ECC"/>
    <w:lvl w:ilvl="0" w:tplc="17569292">
      <w:start w:val="1"/>
      <w:numFmt w:val="decimal"/>
      <w:lvlText w:val="%1."/>
      <w:lvlJc w:val="left"/>
      <w:pPr>
        <w:tabs>
          <w:tab w:val="num" w:pos="720"/>
        </w:tabs>
        <w:ind w:left="720" w:hanging="360"/>
      </w:p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20" w15:restartNumberingAfterBreak="0">
    <w:nsid w:val="5B256C91"/>
    <w:multiLevelType w:val="hybridMultilevel"/>
    <w:tmpl w:val="A38A8744"/>
    <w:lvl w:ilvl="0" w:tplc="D5EC48AC">
      <w:start w:val="1"/>
      <w:numFmt w:val="lowerLetter"/>
      <w:lvlText w:val="%1)"/>
      <w:lvlJc w:val="left"/>
      <w:pPr>
        <w:ind w:left="360" w:hanging="360"/>
      </w:pPr>
    </w:lvl>
    <w:lvl w:ilvl="1" w:tplc="04050019">
      <w:start w:val="1"/>
      <w:numFmt w:val="lowerLetter"/>
      <w:lvlText w:val="%2."/>
      <w:lvlJc w:val="left"/>
      <w:pPr>
        <w:ind w:left="1080" w:hanging="360"/>
      </w:pPr>
    </w:lvl>
    <w:lvl w:ilvl="2" w:tplc="0405001B">
      <w:start w:val="1"/>
      <w:numFmt w:val="lowerRoman"/>
      <w:lvlText w:val="%3."/>
      <w:lvlJc w:val="right"/>
      <w:pPr>
        <w:ind w:left="1800" w:hanging="180"/>
      </w:pPr>
    </w:lvl>
    <w:lvl w:ilvl="3" w:tplc="0405000F">
      <w:start w:val="1"/>
      <w:numFmt w:val="decimal"/>
      <w:lvlText w:val="%4."/>
      <w:lvlJc w:val="left"/>
      <w:pPr>
        <w:ind w:left="2520" w:hanging="360"/>
      </w:pPr>
    </w:lvl>
    <w:lvl w:ilvl="4" w:tplc="04050019">
      <w:start w:val="1"/>
      <w:numFmt w:val="lowerLetter"/>
      <w:lvlText w:val="%5."/>
      <w:lvlJc w:val="left"/>
      <w:pPr>
        <w:ind w:left="3240" w:hanging="360"/>
      </w:pPr>
    </w:lvl>
    <w:lvl w:ilvl="5" w:tplc="0405001B">
      <w:start w:val="1"/>
      <w:numFmt w:val="lowerRoman"/>
      <w:lvlText w:val="%6."/>
      <w:lvlJc w:val="right"/>
      <w:pPr>
        <w:ind w:left="3960" w:hanging="180"/>
      </w:pPr>
    </w:lvl>
    <w:lvl w:ilvl="6" w:tplc="0405000F">
      <w:start w:val="1"/>
      <w:numFmt w:val="decimal"/>
      <w:lvlText w:val="%7."/>
      <w:lvlJc w:val="left"/>
      <w:pPr>
        <w:ind w:left="4680" w:hanging="360"/>
      </w:pPr>
    </w:lvl>
    <w:lvl w:ilvl="7" w:tplc="04050019">
      <w:start w:val="1"/>
      <w:numFmt w:val="lowerLetter"/>
      <w:lvlText w:val="%8."/>
      <w:lvlJc w:val="left"/>
      <w:pPr>
        <w:ind w:left="5400" w:hanging="360"/>
      </w:pPr>
    </w:lvl>
    <w:lvl w:ilvl="8" w:tplc="0405001B">
      <w:start w:val="1"/>
      <w:numFmt w:val="lowerRoman"/>
      <w:lvlText w:val="%9."/>
      <w:lvlJc w:val="right"/>
      <w:pPr>
        <w:ind w:left="6120" w:hanging="180"/>
      </w:pPr>
    </w:lvl>
  </w:abstractNum>
  <w:abstractNum w:abstractNumId="21" w15:restartNumberingAfterBreak="0">
    <w:nsid w:val="629C3F4B"/>
    <w:multiLevelType w:val="hybridMultilevel"/>
    <w:tmpl w:val="98A0CD3A"/>
    <w:lvl w:ilvl="0" w:tplc="6B726E7C">
      <w:start w:val="1"/>
      <w:numFmt w:val="decimal"/>
      <w:lvlText w:val="%1."/>
      <w:lvlJc w:val="left"/>
      <w:pPr>
        <w:tabs>
          <w:tab w:val="num" w:pos="360"/>
        </w:tabs>
        <w:ind w:left="360" w:hanging="360"/>
      </w:pPr>
      <w:rPr>
        <w:rFonts w:hint="default"/>
      </w:rPr>
    </w:lvl>
    <w:lvl w:ilvl="1" w:tplc="04050001">
      <w:start w:val="1"/>
      <w:numFmt w:val="bullet"/>
      <w:lvlText w:val=""/>
      <w:lvlJc w:val="left"/>
      <w:pPr>
        <w:tabs>
          <w:tab w:val="num" w:pos="1080"/>
        </w:tabs>
        <w:ind w:left="1080" w:hanging="360"/>
      </w:pPr>
      <w:rPr>
        <w:rFonts w:ascii="Symbol" w:hAnsi="Symbol" w:hint="default"/>
      </w:r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22" w15:restartNumberingAfterBreak="0">
    <w:nsid w:val="642350F8"/>
    <w:multiLevelType w:val="hybridMultilevel"/>
    <w:tmpl w:val="FCB2BCA6"/>
    <w:lvl w:ilvl="0" w:tplc="9C167A50">
      <w:start w:val="1"/>
      <w:numFmt w:val="decimal"/>
      <w:lvlText w:val="%1."/>
      <w:lvlJc w:val="left"/>
      <w:pPr>
        <w:ind w:left="927" w:hanging="360"/>
      </w:pPr>
      <w:rPr>
        <w:rFonts w:asciiTheme="minorHAnsi" w:eastAsiaTheme="minorHAnsi" w:hAnsiTheme="minorHAnsi" w:cs="Arial"/>
      </w:rPr>
    </w:lvl>
    <w:lvl w:ilvl="1" w:tplc="04050019">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23" w15:restartNumberingAfterBreak="0">
    <w:nsid w:val="65C75C2D"/>
    <w:multiLevelType w:val="hybridMultilevel"/>
    <w:tmpl w:val="1BC49F04"/>
    <w:lvl w:ilvl="0" w:tplc="C906A072">
      <w:start w:val="1"/>
      <w:numFmt w:val="decimal"/>
      <w:lvlText w:val="%1."/>
      <w:lvlJc w:val="left"/>
      <w:pPr>
        <w:ind w:left="927" w:hanging="360"/>
      </w:pPr>
      <w:rPr>
        <w:rFonts w:asciiTheme="minorHAnsi" w:eastAsiaTheme="minorHAnsi" w:hAnsiTheme="minorHAnsi" w:cs="Arial"/>
      </w:rPr>
    </w:lvl>
    <w:lvl w:ilvl="1" w:tplc="04050019">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24" w15:restartNumberingAfterBreak="0">
    <w:nsid w:val="6A087A8A"/>
    <w:multiLevelType w:val="hybridMultilevel"/>
    <w:tmpl w:val="44665CE6"/>
    <w:lvl w:ilvl="0" w:tplc="64441440">
      <w:start w:val="1"/>
      <w:numFmt w:val="decimal"/>
      <w:lvlText w:val="%1."/>
      <w:lvlJc w:val="left"/>
      <w:pPr>
        <w:ind w:left="927" w:hanging="360"/>
      </w:pPr>
      <w:rPr>
        <w:rFonts w:hint="default"/>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25" w15:restartNumberingAfterBreak="0">
    <w:nsid w:val="731E2775"/>
    <w:multiLevelType w:val="hybridMultilevel"/>
    <w:tmpl w:val="83AA9DF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771C3D46"/>
    <w:multiLevelType w:val="hybridMultilevel"/>
    <w:tmpl w:val="CDC46798"/>
    <w:lvl w:ilvl="0" w:tplc="70D6200C">
      <w:start w:val="1"/>
      <w:numFmt w:val="lowerLetter"/>
      <w:lvlText w:val="%1)"/>
      <w:lvlJc w:val="left"/>
      <w:pPr>
        <w:ind w:left="927" w:hanging="360"/>
      </w:pPr>
      <w:rPr>
        <w:rFonts w:hint="default"/>
        <w:sz w:val="20"/>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27" w15:restartNumberingAfterBreak="0">
    <w:nsid w:val="783B4FDB"/>
    <w:multiLevelType w:val="multilevel"/>
    <w:tmpl w:val="FBBE5600"/>
    <w:lvl w:ilvl="0">
      <w:start w:val="1"/>
      <w:numFmt w:val="decimal"/>
      <w:lvlText w:val="%1."/>
      <w:lvlJc w:val="left"/>
      <w:pPr>
        <w:ind w:left="360" w:hanging="360"/>
      </w:pPr>
      <w:rPr>
        <w:rFonts w:hint="default"/>
        <w:sz w:val="22"/>
        <w:szCs w:val="22"/>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num w:numId="1">
    <w:abstractNumId w:val="0"/>
  </w:num>
  <w:num w:numId="2">
    <w:abstractNumId w:val="25"/>
  </w:num>
  <w:num w:numId="3">
    <w:abstractNumId w:val="4"/>
  </w:num>
  <w:num w:numId="4">
    <w:abstractNumId w:val="15"/>
  </w:num>
  <w:num w:numId="5">
    <w:abstractNumId w:val="26"/>
  </w:num>
  <w:num w:numId="6">
    <w:abstractNumId w:val="14"/>
  </w:num>
  <w:num w:numId="7">
    <w:abstractNumId w:val="2"/>
  </w:num>
  <w:num w:numId="8">
    <w:abstractNumId w:val="3"/>
  </w:num>
  <w:num w:numId="9">
    <w:abstractNumId w:val="17"/>
  </w:num>
  <w:num w:numId="10">
    <w:abstractNumId w:val="11"/>
  </w:num>
  <w:num w:numId="11">
    <w:abstractNumId w:val="8"/>
  </w:num>
  <w:num w:numId="12">
    <w:abstractNumId w:val="9"/>
  </w:num>
  <w:num w:numId="13">
    <w:abstractNumId w:val="18"/>
  </w:num>
  <w:num w:numId="14">
    <w:abstractNumId w:val="13"/>
  </w:num>
  <w:num w:numId="15">
    <w:abstractNumId w:val="10"/>
  </w:num>
  <w:num w:numId="16">
    <w:abstractNumId w:val="1"/>
  </w:num>
  <w:num w:numId="17">
    <w:abstractNumId w:val="27"/>
  </w:num>
  <w:num w:numId="18">
    <w:abstractNumId w:val="21"/>
  </w:num>
  <w:num w:numId="19">
    <w:abstractNumId w:val="7"/>
  </w:num>
  <w:num w:numId="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0"/>
  </w:num>
  <w:num w:numId="2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6"/>
  </w:num>
  <w:num w:numId="24">
    <w:abstractNumId w:val="6"/>
  </w:num>
  <w:num w:numId="25">
    <w:abstractNumId w:val="23"/>
  </w:num>
  <w:num w:numId="26">
    <w:abstractNumId w:val="22"/>
  </w:num>
  <w:num w:numId="27">
    <w:abstractNumId w:val="24"/>
  </w:num>
  <w:num w:numId="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7B8B"/>
    <w:rsid w:val="0007100C"/>
    <w:rsid w:val="000E6722"/>
    <w:rsid w:val="000F7B8B"/>
    <w:rsid w:val="0013382A"/>
    <w:rsid w:val="001859E6"/>
    <w:rsid w:val="001972C8"/>
    <w:rsid w:val="001A00CF"/>
    <w:rsid w:val="001A3C54"/>
    <w:rsid w:val="001F4757"/>
    <w:rsid w:val="00283CAB"/>
    <w:rsid w:val="002A4BE5"/>
    <w:rsid w:val="002E7FAB"/>
    <w:rsid w:val="00355086"/>
    <w:rsid w:val="00386DBC"/>
    <w:rsid w:val="003A5BD3"/>
    <w:rsid w:val="003C3B2D"/>
    <w:rsid w:val="003F66EC"/>
    <w:rsid w:val="00484B95"/>
    <w:rsid w:val="004A4A14"/>
    <w:rsid w:val="00510E7C"/>
    <w:rsid w:val="00531512"/>
    <w:rsid w:val="005609FC"/>
    <w:rsid w:val="00595C0D"/>
    <w:rsid w:val="005C320F"/>
    <w:rsid w:val="00616E76"/>
    <w:rsid w:val="006877BD"/>
    <w:rsid w:val="006E6917"/>
    <w:rsid w:val="006F4F13"/>
    <w:rsid w:val="00715AC9"/>
    <w:rsid w:val="007457DF"/>
    <w:rsid w:val="007A7A0A"/>
    <w:rsid w:val="007F570E"/>
    <w:rsid w:val="00816B95"/>
    <w:rsid w:val="008202EC"/>
    <w:rsid w:val="00836012"/>
    <w:rsid w:val="00856D74"/>
    <w:rsid w:val="008A39C3"/>
    <w:rsid w:val="0091418E"/>
    <w:rsid w:val="009279A7"/>
    <w:rsid w:val="009501B0"/>
    <w:rsid w:val="009609B3"/>
    <w:rsid w:val="00993D40"/>
    <w:rsid w:val="0099535B"/>
    <w:rsid w:val="009D398F"/>
    <w:rsid w:val="00A467C5"/>
    <w:rsid w:val="00B17BED"/>
    <w:rsid w:val="00B40940"/>
    <w:rsid w:val="00B5138D"/>
    <w:rsid w:val="00B5376E"/>
    <w:rsid w:val="00B8671A"/>
    <w:rsid w:val="00C31C80"/>
    <w:rsid w:val="00C423A7"/>
    <w:rsid w:val="00C50231"/>
    <w:rsid w:val="00C6526B"/>
    <w:rsid w:val="00CD1B83"/>
    <w:rsid w:val="00D37303"/>
    <w:rsid w:val="00D476E0"/>
    <w:rsid w:val="00DE37E5"/>
    <w:rsid w:val="00ED3D2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01823"/>
  <w15:docId w15:val="{FDA2DD9F-7921-45FE-930D-DF406D28C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aliases w:val="A Normální"/>
    <w:qFormat/>
    <w:rsid w:val="000F7B8B"/>
    <w:pPr>
      <w:spacing w:after="120"/>
      <w:jc w:val="both"/>
    </w:pPr>
    <w:rPr>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aliases w:val="hdr"/>
    <w:basedOn w:val="Normln"/>
    <w:link w:val="ZhlavChar"/>
    <w:unhideWhenUsed/>
    <w:rsid w:val="000F7B8B"/>
    <w:pPr>
      <w:tabs>
        <w:tab w:val="center" w:pos="4536"/>
        <w:tab w:val="right" w:pos="9072"/>
      </w:tabs>
    </w:pPr>
  </w:style>
  <w:style w:type="character" w:customStyle="1" w:styleId="ZhlavChar">
    <w:name w:val="Záhlaví Char"/>
    <w:aliases w:val="hdr Char"/>
    <w:basedOn w:val="Standardnpsmoodstavce"/>
    <w:link w:val="Zhlav"/>
    <w:rsid w:val="000F7B8B"/>
    <w:rPr>
      <w:lang w:eastAsia="cs-CZ"/>
    </w:rPr>
  </w:style>
  <w:style w:type="paragraph" w:styleId="Odstavecseseznamem">
    <w:name w:val="List Paragraph"/>
    <w:aliases w:val="Odstavec_muj,Nad,List Paragraph"/>
    <w:basedOn w:val="Normln"/>
    <w:link w:val="OdstavecseseznamemChar"/>
    <w:uiPriority w:val="34"/>
    <w:qFormat/>
    <w:rsid w:val="000F7B8B"/>
    <w:pPr>
      <w:ind w:left="720"/>
      <w:contextualSpacing/>
    </w:pPr>
  </w:style>
  <w:style w:type="character" w:customStyle="1" w:styleId="OdstavecseseznamemChar">
    <w:name w:val="Odstavec se seznamem Char"/>
    <w:aliases w:val="Odstavec_muj Char,Nad Char,List Paragraph Char"/>
    <w:basedOn w:val="Standardnpsmoodstavce"/>
    <w:link w:val="Odstavecseseznamem"/>
    <w:uiPriority w:val="34"/>
    <w:rsid w:val="000F7B8B"/>
    <w:rPr>
      <w:lang w:eastAsia="cs-CZ"/>
    </w:rPr>
  </w:style>
  <w:style w:type="paragraph" w:styleId="Zkladntext">
    <w:name w:val="Body Text"/>
    <w:basedOn w:val="Normln"/>
    <w:link w:val="ZkladntextChar"/>
    <w:rsid w:val="000F7B8B"/>
    <w:rPr>
      <w:sz w:val="24"/>
      <w:szCs w:val="24"/>
    </w:rPr>
  </w:style>
  <w:style w:type="character" w:customStyle="1" w:styleId="ZkladntextChar">
    <w:name w:val="Základní text Char"/>
    <w:basedOn w:val="Standardnpsmoodstavce"/>
    <w:link w:val="Zkladntext"/>
    <w:rsid w:val="000F7B8B"/>
    <w:rPr>
      <w:sz w:val="24"/>
      <w:szCs w:val="24"/>
      <w:lang w:eastAsia="cs-CZ"/>
    </w:rPr>
  </w:style>
  <w:style w:type="character" w:styleId="Hypertextovodkaz">
    <w:name w:val="Hyperlink"/>
    <w:basedOn w:val="Standardnpsmoodstavce"/>
    <w:uiPriority w:val="99"/>
    <w:rsid w:val="000F7B8B"/>
    <w:rPr>
      <w:color w:val="0000FF"/>
      <w:u w:val="single"/>
    </w:rPr>
  </w:style>
  <w:style w:type="paragraph" w:styleId="Textpoznpodarou">
    <w:name w:val="footnote text"/>
    <w:aliases w:val="Text poznámky pod čiarou 007,Footnote,pozn. pod čarou,Schriftart: 9 pt,Schriftart: 10 pt,Schriftart: 8 pt,Podrozdział,Podrozdzia3,Char1,Fußnotentextf,Geneva 9,Font: Geneva 9,Boston 10,f,Text pozn. pod čarou1,Char Char Char1,o, Char1"/>
    <w:basedOn w:val="Normln"/>
    <w:link w:val="TextpoznpodarouChar"/>
    <w:uiPriority w:val="99"/>
    <w:qFormat/>
    <w:rsid w:val="000F7B8B"/>
  </w:style>
  <w:style w:type="character" w:customStyle="1" w:styleId="TextpoznpodarouChar">
    <w:name w:val="Text pozn. pod čarou Char"/>
    <w:aliases w:val="Text poznámky pod čiarou 007 Char,Footnote Char,pozn. pod čarou Char,Schriftart: 9 pt Char,Schriftart: 10 pt Char,Schriftart: 8 pt Char,Podrozdział Char,Podrozdzia3 Char,Char1 Char,Fußnotentextf Char,Geneva 9 Char,f Char,o Char"/>
    <w:basedOn w:val="Standardnpsmoodstavce"/>
    <w:link w:val="Textpoznpodarou"/>
    <w:uiPriority w:val="99"/>
    <w:rsid w:val="000F7B8B"/>
    <w:rPr>
      <w:lang w:eastAsia="cs-CZ"/>
    </w:rPr>
  </w:style>
  <w:style w:type="character" w:styleId="Znakapoznpodarou">
    <w:name w:val="footnote reference"/>
    <w:aliases w:val="PGI Fußnote Ziffer,BVI fnr,Footnote symbol,Footnote Reference Superscript,Appel note de bas de p,Appel note de bas de page,Légende,Char Car Car Car Car,Voetnootverwijzing,Légende;Char Car Car Car Car,Footnote reference number"/>
    <w:basedOn w:val="Standardnpsmoodstavce"/>
    <w:uiPriority w:val="99"/>
    <w:unhideWhenUsed/>
    <w:rsid w:val="000F7B8B"/>
    <w:rPr>
      <w:vertAlign w:val="superscript"/>
    </w:rPr>
  </w:style>
  <w:style w:type="paragraph" w:customStyle="1" w:styleId="xl90">
    <w:name w:val="xl90"/>
    <w:basedOn w:val="Normln"/>
    <w:rsid w:val="000F7B8B"/>
    <w:pPr>
      <w:pBdr>
        <w:left w:val="single" w:sz="4" w:space="0" w:color="auto"/>
        <w:bottom w:val="single" w:sz="4" w:space="0" w:color="auto"/>
        <w:right w:val="single" w:sz="4" w:space="0" w:color="auto"/>
      </w:pBdr>
      <w:spacing w:before="100" w:beforeAutospacing="1" w:after="100" w:afterAutospacing="1"/>
      <w:jc w:val="center"/>
    </w:pPr>
    <w:rPr>
      <w:rFonts w:cs="Arial"/>
      <w:b/>
      <w:bCs/>
    </w:rPr>
  </w:style>
  <w:style w:type="paragraph" w:styleId="slovanseznam">
    <w:name w:val="List Number"/>
    <w:basedOn w:val="Normln"/>
    <w:rsid w:val="000F7B8B"/>
    <w:rPr>
      <w:rFonts w:cs="Arial"/>
      <w:sz w:val="24"/>
      <w:szCs w:val="24"/>
    </w:rPr>
  </w:style>
  <w:style w:type="paragraph" w:customStyle="1" w:styleId="N1">
    <w:name w:val="N1"/>
    <w:next w:val="Normln"/>
    <w:rsid w:val="000F7B8B"/>
    <w:pPr>
      <w:spacing w:before="240" w:after="120" w:line="240" w:lineRule="auto"/>
    </w:pPr>
    <w:rPr>
      <w:rFonts w:ascii="Arial" w:eastAsia="Times New Roman" w:hAnsi="Arial" w:cs="Arial"/>
      <w:b/>
      <w:caps/>
      <w:sz w:val="24"/>
      <w:szCs w:val="24"/>
      <w:lang w:eastAsia="cs-CZ"/>
    </w:rPr>
  </w:style>
  <w:style w:type="paragraph" w:customStyle="1" w:styleId="Normln12TNRCharCharCharChar">
    <w:name w:val="Normální 12. TNR Char Char Char Char"/>
    <w:basedOn w:val="Normln"/>
    <w:rsid w:val="000F7B8B"/>
    <w:rPr>
      <w:rFonts w:ascii="Times New Roman" w:hAnsi="Times New Roman"/>
      <w:sz w:val="24"/>
    </w:rPr>
  </w:style>
  <w:style w:type="paragraph" w:styleId="Textbubliny">
    <w:name w:val="Balloon Text"/>
    <w:basedOn w:val="Normln"/>
    <w:link w:val="TextbublinyChar"/>
    <w:uiPriority w:val="99"/>
    <w:semiHidden/>
    <w:unhideWhenUsed/>
    <w:rsid w:val="0099535B"/>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99535B"/>
    <w:rPr>
      <w:rFonts w:ascii="Tahoma" w:hAnsi="Tahoma" w:cs="Tahoma"/>
      <w:sz w:val="16"/>
      <w:szCs w:val="16"/>
      <w:lang w:eastAsia="cs-CZ"/>
    </w:rPr>
  </w:style>
  <w:style w:type="character" w:styleId="Odkaznakoment">
    <w:name w:val="annotation reference"/>
    <w:basedOn w:val="Standardnpsmoodstavce"/>
    <w:uiPriority w:val="99"/>
    <w:semiHidden/>
    <w:unhideWhenUsed/>
    <w:rsid w:val="005609FC"/>
    <w:rPr>
      <w:sz w:val="16"/>
      <w:szCs w:val="16"/>
    </w:rPr>
  </w:style>
  <w:style w:type="paragraph" w:styleId="Textkomente">
    <w:name w:val="annotation text"/>
    <w:basedOn w:val="Normln"/>
    <w:link w:val="TextkomenteChar"/>
    <w:uiPriority w:val="99"/>
    <w:semiHidden/>
    <w:unhideWhenUsed/>
    <w:rsid w:val="005609FC"/>
    <w:pPr>
      <w:spacing w:line="240" w:lineRule="auto"/>
    </w:pPr>
    <w:rPr>
      <w:sz w:val="20"/>
      <w:szCs w:val="20"/>
    </w:rPr>
  </w:style>
  <w:style w:type="character" w:customStyle="1" w:styleId="TextkomenteChar">
    <w:name w:val="Text komentáře Char"/>
    <w:basedOn w:val="Standardnpsmoodstavce"/>
    <w:link w:val="Textkomente"/>
    <w:uiPriority w:val="99"/>
    <w:semiHidden/>
    <w:rsid w:val="005609FC"/>
    <w:rPr>
      <w:sz w:val="20"/>
      <w:szCs w:val="20"/>
      <w:lang w:eastAsia="cs-CZ"/>
    </w:rPr>
  </w:style>
  <w:style w:type="paragraph" w:styleId="Pedmtkomente">
    <w:name w:val="annotation subject"/>
    <w:basedOn w:val="Textkomente"/>
    <w:next w:val="Textkomente"/>
    <w:link w:val="PedmtkomenteChar"/>
    <w:uiPriority w:val="99"/>
    <w:semiHidden/>
    <w:unhideWhenUsed/>
    <w:rsid w:val="005609FC"/>
    <w:rPr>
      <w:b/>
      <w:bCs/>
    </w:rPr>
  </w:style>
  <w:style w:type="character" w:customStyle="1" w:styleId="PedmtkomenteChar">
    <w:name w:val="Předmět komentáře Char"/>
    <w:basedOn w:val="TextkomenteChar"/>
    <w:link w:val="Pedmtkomente"/>
    <w:uiPriority w:val="99"/>
    <w:semiHidden/>
    <w:rsid w:val="005609FC"/>
    <w:rPr>
      <w:b/>
      <w:bCs/>
      <w:sz w:val="20"/>
      <w:szCs w:val="20"/>
      <w:lang w:eastAsia="cs-CZ"/>
    </w:rPr>
  </w:style>
  <w:style w:type="paragraph" w:customStyle="1" w:styleId="txt">
    <w:name w:val="txt"/>
    <w:basedOn w:val="Normln"/>
    <w:link w:val="txtChar"/>
    <w:rsid w:val="009D398F"/>
    <w:pPr>
      <w:spacing w:line="240" w:lineRule="auto"/>
      <w:ind w:firstLine="357"/>
    </w:pPr>
    <w:rPr>
      <w:rFonts w:ascii="Arial" w:eastAsia="Times New Roman" w:hAnsi="Arial" w:cs="Times New Roman"/>
      <w:szCs w:val="24"/>
    </w:rPr>
  </w:style>
  <w:style w:type="character" w:customStyle="1" w:styleId="txtChar">
    <w:name w:val="txt Char"/>
    <w:basedOn w:val="Standardnpsmoodstavce"/>
    <w:link w:val="txt"/>
    <w:rsid w:val="009D398F"/>
    <w:rPr>
      <w:rFonts w:ascii="Arial" w:eastAsia="Times New Roman" w:hAnsi="Arial" w:cs="Times New Roman"/>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3651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vcr.cz"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ov.gov.cz" TargetMode="External"/><Relationship Id="rId4" Type="http://schemas.openxmlformats.org/officeDocument/2006/relationships/settings" Target="settings.xml"/><Relationship Id="rId9" Type="http://schemas.openxmlformats.org/officeDocument/2006/relationships/hyperlink" Target="https://isir.justice.cz"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D4F182-78E5-4093-BF59-E912F3B2A4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15</Pages>
  <Words>5334</Words>
  <Characters>31472</Characters>
  <Application>Microsoft Office Word</Application>
  <DocSecurity>0</DocSecurity>
  <Lines>262</Lines>
  <Paragraphs>73</Paragraphs>
  <ScaleCrop>false</ScaleCrop>
  <HeadingPairs>
    <vt:vector size="2" baseType="variant">
      <vt:variant>
        <vt:lpstr>Název</vt:lpstr>
      </vt:variant>
      <vt:variant>
        <vt:i4>1</vt:i4>
      </vt:variant>
    </vt:vector>
  </HeadingPairs>
  <TitlesOfParts>
    <vt:vector size="1" baseType="lpstr">
      <vt:lpstr/>
    </vt:vector>
  </TitlesOfParts>
  <Company>MV ČR</Company>
  <LinksUpToDate>false</LinksUpToDate>
  <CharactersWithSpaces>36733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Ondřej Houda</dc:creator>
  <cp:lastModifiedBy>HOUDA Ondřej, Mgr.</cp:lastModifiedBy>
  <cp:revision>5</cp:revision>
  <dcterms:created xsi:type="dcterms:W3CDTF">2020-07-09T13:12:00Z</dcterms:created>
  <dcterms:modified xsi:type="dcterms:W3CDTF">2020-07-24T12:02:00Z</dcterms:modified>
</cp:coreProperties>
</file>