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1D78F" w14:textId="43A65660" w:rsidR="00CC002C" w:rsidRPr="004B7A0E" w:rsidRDefault="00CC002C" w:rsidP="00976B88">
      <w:pPr>
        <w:rPr>
          <w:rFonts w:asciiTheme="minorHAnsi" w:hAnsiTheme="minorHAnsi" w:cstheme="minorHAnsi"/>
        </w:rPr>
      </w:pPr>
    </w:p>
    <w:p w14:paraId="4AB77DB0" w14:textId="77777777" w:rsidR="0075161C" w:rsidRPr="004B7A0E" w:rsidRDefault="0075161C" w:rsidP="00976B88">
      <w:pPr>
        <w:rPr>
          <w:rFonts w:asciiTheme="minorHAnsi" w:hAnsiTheme="minorHAnsi" w:cstheme="minorHAnsi"/>
        </w:rPr>
      </w:pPr>
    </w:p>
    <w:p w14:paraId="2F3A7DF7" w14:textId="73718D06" w:rsidR="00976B88" w:rsidRPr="004B7A0E" w:rsidRDefault="00943D8D" w:rsidP="003C428C">
      <w:pPr>
        <w:jc w:val="center"/>
        <w:rPr>
          <w:rFonts w:asciiTheme="minorHAnsi" w:hAnsiTheme="minorHAnsi" w:cstheme="minorHAnsi"/>
          <w:b/>
          <w:bCs/>
        </w:rPr>
      </w:pPr>
      <w:r w:rsidRPr="004B7A0E">
        <w:rPr>
          <w:rFonts w:asciiTheme="minorHAnsi" w:hAnsiTheme="minorHAnsi" w:cstheme="minorHAnsi"/>
          <w:b/>
          <w:bCs/>
        </w:rPr>
        <w:t>Reportovací list</w:t>
      </w:r>
      <w:r w:rsidR="00790B4F" w:rsidRPr="004B7A0E">
        <w:rPr>
          <w:rFonts w:asciiTheme="minorHAnsi" w:hAnsiTheme="minorHAnsi" w:cstheme="minorHAnsi"/>
          <w:b/>
          <w:bCs/>
        </w:rPr>
        <w:t xml:space="preserve"> </w:t>
      </w:r>
      <w:r w:rsidRPr="004B7A0E">
        <w:rPr>
          <w:rFonts w:asciiTheme="minorHAnsi" w:hAnsiTheme="minorHAnsi" w:cstheme="minorHAnsi"/>
          <w:b/>
          <w:bCs/>
        </w:rPr>
        <w:t xml:space="preserve">k plnění zásady „významně nepoškozovat“ </w:t>
      </w:r>
    </w:p>
    <w:p w14:paraId="71FF4644" w14:textId="77777777" w:rsidR="00943D8D" w:rsidRPr="004B7A0E" w:rsidRDefault="00943D8D">
      <w:pPr>
        <w:rPr>
          <w:rFonts w:asciiTheme="minorHAnsi" w:hAnsiTheme="minorHAnsi" w:cstheme="minorHAnsi"/>
        </w:rPr>
      </w:pPr>
    </w:p>
    <w:p w14:paraId="6937A13A" w14:textId="77777777" w:rsidR="00943D8D" w:rsidRPr="004B7A0E" w:rsidRDefault="00943D8D">
      <w:pPr>
        <w:rPr>
          <w:rFonts w:asciiTheme="minorHAnsi" w:hAnsiTheme="minorHAnsi" w:cstheme="minorHAnsi"/>
          <w:u w:val="single"/>
        </w:rPr>
      </w:pPr>
    </w:p>
    <w:p w14:paraId="16311819" w14:textId="77777777" w:rsidR="005965CE" w:rsidRPr="004B7A0E" w:rsidRDefault="005965CE">
      <w:pPr>
        <w:rPr>
          <w:rFonts w:asciiTheme="minorHAnsi" w:hAnsiTheme="minorHAnsi" w:cstheme="minorHAnsi"/>
          <w:u w:val="single"/>
        </w:rPr>
      </w:pPr>
      <w:r w:rsidRPr="004B7A0E">
        <w:rPr>
          <w:rFonts w:asciiTheme="minorHAnsi" w:hAnsiTheme="minorHAnsi" w:cstheme="minorHAnsi"/>
          <w:u w:val="single"/>
        </w:rPr>
        <w:t>Název opatření dle Národního plánu:</w:t>
      </w:r>
    </w:p>
    <w:p w14:paraId="74762B61" w14:textId="32A03C63" w:rsidR="005965CE" w:rsidRPr="00ED79B0" w:rsidRDefault="00ED79B0">
      <w:pPr>
        <w:rPr>
          <w:rFonts w:asciiTheme="minorHAnsi" w:hAnsiTheme="minorHAnsi" w:cstheme="minorHAnsi"/>
          <w:lang w:val="en-US"/>
        </w:rPr>
      </w:pPr>
      <w:r w:rsidRPr="00ED79B0">
        <w:rPr>
          <w:rFonts w:asciiTheme="minorHAnsi" w:hAnsiTheme="minorHAnsi" w:cstheme="minorHAnsi"/>
          <w:lang w:val="en-US"/>
        </w:rPr>
        <w:t xml:space="preserve">Investment </w:t>
      </w:r>
      <w:r w:rsidR="00AD3DB2">
        <w:rPr>
          <w:rFonts w:asciiTheme="minorHAnsi" w:hAnsiTheme="minorHAnsi" w:cstheme="minorHAnsi"/>
          <w:lang w:val="en-US"/>
        </w:rPr>
        <w:t>3</w:t>
      </w:r>
      <w:r w:rsidRPr="00ED79B0">
        <w:rPr>
          <w:rFonts w:asciiTheme="minorHAnsi" w:hAnsiTheme="minorHAnsi" w:cstheme="minorHAnsi"/>
          <w:lang w:val="en-US"/>
        </w:rPr>
        <w:t xml:space="preserve">: </w:t>
      </w:r>
      <w:r w:rsidR="00AD3DB2">
        <w:rPr>
          <w:rFonts w:asciiTheme="minorHAnsi" w:hAnsiTheme="minorHAnsi" w:cstheme="minorHAnsi"/>
          <w:lang w:val="en-US"/>
        </w:rPr>
        <w:t>Cybersecurity</w:t>
      </w:r>
    </w:p>
    <w:p w14:paraId="746B2032" w14:textId="77777777" w:rsidR="005965CE" w:rsidRPr="004B7A0E" w:rsidRDefault="005965CE">
      <w:pPr>
        <w:rPr>
          <w:rFonts w:asciiTheme="minorHAnsi" w:hAnsiTheme="minorHAnsi" w:cstheme="minorHAnsi"/>
          <w:u w:val="single"/>
        </w:rPr>
      </w:pPr>
    </w:p>
    <w:p w14:paraId="4CBF1706" w14:textId="77777777" w:rsidR="00976B88" w:rsidRPr="004B7A0E" w:rsidRDefault="00790B4F">
      <w:pPr>
        <w:rPr>
          <w:rFonts w:asciiTheme="minorHAnsi" w:hAnsiTheme="minorHAnsi" w:cstheme="minorHAnsi"/>
          <w:u w:val="single"/>
        </w:rPr>
      </w:pPr>
      <w:r w:rsidRPr="004B7A0E">
        <w:rPr>
          <w:rFonts w:asciiTheme="minorHAnsi" w:hAnsiTheme="minorHAnsi" w:cstheme="minorHAnsi"/>
          <w:u w:val="single"/>
        </w:rPr>
        <w:t>Popis opatření</w:t>
      </w:r>
      <w:r w:rsidR="00A37F0D" w:rsidRPr="004B7A0E">
        <w:rPr>
          <w:rFonts w:asciiTheme="minorHAnsi" w:hAnsiTheme="minorHAnsi" w:cstheme="minorHAnsi"/>
          <w:u w:val="single"/>
        </w:rPr>
        <w:t xml:space="preserve"> (reformy nebo investice)</w:t>
      </w:r>
      <w:r w:rsidRPr="004B7A0E">
        <w:rPr>
          <w:rFonts w:asciiTheme="minorHAnsi" w:hAnsiTheme="minorHAnsi" w:cstheme="minorHAnsi"/>
          <w:u w:val="single"/>
        </w:rPr>
        <w:t>:</w:t>
      </w:r>
    </w:p>
    <w:p w14:paraId="1153E439" w14:textId="7C6E7E5A" w:rsidR="00AD3DB2" w:rsidRPr="00AD3DB2" w:rsidRDefault="00AD3DB2" w:rsidP="00AD3DB2">
      <w:pPr>
        <w:textAlignment w:val="baseline"/>
        <w:rPr>
          <w:rFonts w:asciiTheme="minorHAnsi" w:hAnsiTheme="minorHAnsi" w:cstheme="minorHAnsi"/>
          <w:i/>
          <w:iCs/>
          <w:sz w:val="20"/>
          <w:szCs w:val="20"/>
          <w:lang w:val="en-US"/>
        </w:rPr>
      </w:pPr>
      <w:r w:rsidRPr="00AD3DB2">
        <w:rPr>
          <w:rFonts w:asciiTheme="minorHAnsi" w:hAnsiTheme="minorHAnsi" w:cstheme="minorHAnsi"/>
          <w:i/>
          <w:iCs/>
          <w:sz w:val="20"/>
          <w:szCs w:val="20"/>
          <w:lang w:val="en-US"/>
        </w:rPr>
        <w:t>The investment aims at increasing the cybersecurity of the public administration and healthcare ICT infrastructure and information systems</w:t>
      </w:r>
      <w:r>
        <w:rPr>
          <w:rFonts w:asciiTheme="minorHAnsi" w:hAnsiTheme="minorHAnsi" w:cstheme="minorHAnsi"/>
          <w:i/>
          <w:iCs/>
          <w:sz w:val="20"/>
          <w:szCs w:val="20"/>
          <w:lang w:val="en-US"/>
        </w:rPr>
        <w:t xml:space="preserve">, </w:t>
      </w:r>
      <w:r w:rsidRPr="00AD3DB2">
        <w:rPr>
          <w:rFonts w:asciiTheme="minorHAnsi" w:hAnsiTheme="minorHAnsi" w:cstheme="minorHAnsi"/>
          <w:i/>
          <w:iCs/>
          <w:sz w:val="20"/>
          <w:szCs w:val="20"/>
          <w:lang w:val="en-US"/>
        </w:rPr>
        <w:t xml:space="preserve">in line with the National Cybersecurity Strategy. The measure shall include projects leading to i) the modernisation and expansion of police forces’ capacity in Czechia to detect, identify and respond to security and ICT incidents and to ii) the increased cybersecurity of at least </w:t>
      </w:r>
      <w:r w:rsidR="001A26E3">
        <w:rPr>
          <w:rFonts w:asciiTheme="minorHAnsi" w:hAnsiTheme="minorHAnsi" w:cstheme="minorHAnsi"/>
          <w:i/>
          <w:iCs/>
          <w:sz w:val="20"/>
          <w:szCs w:val="20"/>
          <w:lang w:val="en-US"/>
        </w:rPr>
        <w:t>89</w:t>
      </w:r>
      <w:r w:rsidRPr="00AD3DB2">
        <w:rPr>
          <w:rFonts w:asciiTheme="minorHAnsi" w:hAnsiTheme="minorHAnsi" w:cstheme="minorHAnsi"/>
          <w:i/>
          <w:iCs/>
          <w:sz w:val="20"/>
          <w:szCs w:val="20"/>
          <w:lang w:val="en-US"/>
        </w:rPr>
        <w:t xml:space="preserve"> information systems.</w:t>
      </w:r>
    </w:p>
    <w:p w14:paraId="5A670A17" w14:textId="77777777" w:rsidR="00AD3DB2" w:rsidRPr="00AD3DB2" w:rsidRDefault="00AD3DB2" w:rsidP="00AD3DB2">
      <w:pPr>
        <w:textAlignment w:val="baseline"/>
        <w:rPr>
          <w:rFonts w:asciiTheme="minorHAnsi" w:hAnsiTheme="minorHAnsi" w:cstheme="minorHAnsi"/>
          <w:i/>
          <w:iCs/>
          <w:sz w:val="20"/>
          <w:szCs w:val="20"/>
          <w:lang w:val="en-US"/>
        </w:rPr>
      </w:pPr>
      <w:r w:rsidRPr="00AD3DB2">
        <w:rPr>
          <w:rFonts w:asciiTheme="minorHAnsi" w:hAnsiTheme="minorHAnsi" w:cstheme="minorHAnsi"/>
          <w:i/>
          <w:iCs/>
          <w:sz w:val="20"/>
          <w:szCs w:val="20"/>
          <w:lang w:val="en-US"/>
        </w:rPr>
        <w:t>The investment shall be implemented by 31 December 2025.</w:t>
      </w:r>
    </w:p>
    <w:p w14:paraId="402BF975" w14:textId="77777777" w:rsidR="00790B4F" w:rsidRPr="004B7A0E" w:rsidRDefault="00790B4F">
      <w:pPr>
        <w:rPr>
          <w:rFonts w:asciiTheme="minorHAnsi" w:hAnsiTheme="minorHAnsi" w:cstheme="minorHAnsi"/>
          <w:u w:val="single"/>
        </w:rPr>
      </w:pPr>
    </w:p>
    <w:p w14:paraId="720DC98E" w14:textId="663C115E" w:rsidR="00790B4F" w:rsidRPr="004B7A0E" w:rsidRDefault="00465196">
      <w:pPr>
        <w:rPr>
          <w:rFonts w:asciiTheme="minorHAnsi" w:hAnsiTheme="minorHAnsi" w:cstheme="minorHAnsi"/>
          <w:u w:val="single"/>
        </w:rPr>
      </w:pPr>
      <w:r w:rsidRPr="00465196">
        <w:rPr>
          <w:rFonts w:asciiTheme="minorHAnsi" w:hAnsiTheme="minorHAnsi" w:cstheme="minorHAnsi"/>
          <w:u w:val="single"/>
        </w:rPr>
        <w:t xml:space="preserve">Identifikace podmínek DNSH </w:t>
      </w:r>
      <w:r>
        <w:rPr>
          <w:rFonts w:asciiTheme="minorHAnsi" w:hAnsiTheme="minorHAnsi" w:cstheme="minorHAnsi"/>
          <w:u w:val="single"/>
        </w:rPr>
        <w:t>a jejich implementace</w:t>
      </w:r>
    </w:p>
    <w:p w14:paraId="0FCAF866" w14:textId="202A1711" w:rsidR="00B87837" w:rsidRPr="00ED79B0" w:rsidRDefault="00F539E4">
      <w:pPr>
        <w:rPr>
          <w:rFonts w:asciiTheme="minorHAnsi" w:hAnsiTheme="minorHAnsi" w:cstheme="minorHAnsi"/>
          <w:lang w:val="en-US"/>
        </w:rPr>
      </w:pPr>
      <w:r w:rsidRPr="00ED79B0">
        <w:rPr>
          <w:rFonts w:asciiTheme="minorHAnsi" w:hAnsiTheme="minorHAnsi" w:cstheme="minorHAnsi"/>
          <w:i/>
          <w:iCs/>
          <w:sz w:val="20"/>
          <w:szCs w:val="20"/>
          <w:lang w:val="en-US"/>
        </w:rPr>
        <w:t>Implementation of DNSH is described in document „Internal manual“, which was created by Owner of the component. Components 1.1, 1.2 and 4. 4 do not include any reforms and investments with a positive climate coefficient. For this reason, the current aggregate amount of actual expenses according to Annex VI Regulation 2021/241 (These are not measures that fulfill the climate coefficient) will not be reported. As part of the report sheet, it is stated that as part of the setting and preparation of the National Recovery Plan, the impact of the component owned by the Ministry of the Interior on the climate and the environment was assessed as minimal, and the Council Implementing Decision does not establish any specific conditions for the components owned by the Ministry of the Interior within DNSH. DNSH principles are checked by the component owner when reviewing the Interim Project Report and Final Project Report. Risk Analysis analyzes the risk of non-compliance with the DNSH principle. In Risk Analysis, the component owner assesses the compliance of the DNSH principles. Moreover the final beneficiary is oblidged to comply with the DNSH principles in the terms and conditions of Project implementation.</w:t>
      </w:r>
    </w:p>
    <w:p w14:paraId="78A821A4" w14:textId="29DB229D" w:rsidR="00B87837" w:rsidRPr="004B7A0E" w:rsidRDefault="00B87837">
      <w:pPr>
        <w:rPr>
          <w:rFonts w:asciiTheme="minorHAnsi" w:hAnsiTheme="minorHAnsi"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9"/>
        <w:gridCol w:w="5023"/>
        <w:gridCol w:w="5026"/>
      </w:tblGrid>
      <w:tr w:rsidR="00373726" w:rsidRPr="004B7A0E" w14:paraId="30CFF918" w14:textId="77777777" w:rsidTr="004B14A7">
        <w:tc>
          <w:tcPr>
            <w:tcW w:w="1283" w:type="pct"/>
          </w:tcPr>
          <w:p w14:paraId="651F8072" w14:textId="6076B8ED" w:rsidR="00373726" w:rsidRPr="004B14A7" w:rsidRDefault="00E039F1">
            <w:pPr>
              <w:rPr>
                <w:rFonts w:asciiTheme="minorHAnsi" w:hAnsiTheme="minorHAnsi" w:cstheme="minorHAnsi"/>
                <w:b/>
              </w:rPr>
            </w:pPr>
            <w:r w:rsidRPr="004B14A7">
              <w:rPr>
                <w:rFonts w:asciiTheme="minorHAnsi" w:hAnsiTheme="minorHAnsi" w:cstheme="minorHAnsi"/>
                <w:b/>
              </w:rPr>
              <w:t>Environmentální cíl</w:t>
            </w:r>
          </w:p>
        </w:tc>
        <w:tc>
          <w:tcPr>
            <w:tcW w:w="1858" w:type="pct"/>
          </w:tcPr>
          <w:p w14:paraId="048F769A" w14:textId="45A13E07" w:rsidR="00373726" w:rsidRPr="004B14A7" w:rsidRDefault="00373726">
            <w:pPr>
              <w:rPr>
                <w:rFonts w:asciiTheme="minorHAnsi" w:hAnsiTheme="minorHAnsi" w:cstheme="minorHAnsi"/>
                <w:b/>
              </w:rPr>
            </w:pPr>
            <w:r w:rsidRPr="004B14A7">
              <w:rPr>
                <w:rFonts w:asciiTheme="minorHAnsi" w:hAnsiTheme="minorHAnsi" w:cstheme="minorHAnsi"/>
                <w:b/>
              </w:rPr>
              <w:t>Podmínky DNSH</w:t>
            </w:r>
            <w:r w:rsidR="0036184F">
              <w:rPr>
                <w:rStyle w:val="Znakapoznpodarou"/>
                <w:rFonts w:asciiTheme="minorHAnsi" w:hAnsiTheme="minorHAnsi" w:cstheme="minorHAnsi"/>
                <w:b/>
              </w:rPr>
              <w:footnoteReference w:id="1"/>
            </w:r>
          </w:p>
          <w:p w14:paraId="0EC5959D" w14:textId="77777777" w:rsidR="00373726" w:rsidRPr="004B14A7" w:rsidRDefault="00373726">
            <w:pPr>
              <w:rPr>
                <w:rFonts w:asciiTheme="minorHAnsi" w:hAnsiTheme="minorHAnsi" w:cstheme="minorHAnsi"/>
                <w:b/>
                <w:sz w:val="20"/>
                <w:szCs w:val="20"/>
              </w:rPr>
            </w:pPr>
          </w:p>
        </w:tc>
        <w:tc>
          <w:tcPr>
            <w:tcW w:w="1859" w:type="pct"/>
          </w:tcPr>
          <w:p w14:paraId="422D4D16" w14:textId="79FEC280" w:rsidR="00373726" w:rsidRPr="004B14A7" w:rsidRDefault="00373726">
            <w:pPr>
              <w:rPr>
                <w:rFonts w:asciiTheme="minorHAnsi" w:hAnsiTheme="minorHAnsi" w:cstheme="minorHAnsi"/>
                <w:b/>
              </w:rPr>
            </w:pPr>
            <w:r w:rsidRPr="004B14A7">
              <w:rPr>
                <w:rFonts w:asciiTheme="minorHAnsi" w:hAnsiTheme="minorHAnsi" w:cstheme="minorHAnsi"/>
                <w:b/>
              </w:rPr>
              <w:t>Způsob implementace</w:t>
            </w:r>
            <w:r w:rsidR="0036184F" w:rsidRPr="004B7A0E">
              <w:rPr>
                <w:rStyle w:val="Znakapoznpodarou"/>
                <w:rFonts w:asciiTheme="minorHAnsi" w:hAnsiTheme="minorHAnsi" w:cstheme="minorHAnsi"/>
                <w:b/>
                <w:bCs/>
              </w:rPr>
              <w:footnoteReference w:id="2"/>
            </w:r>
          </w:p>
          <w:p w14:paraId="5EF32499" w14:textId="77777777" w:rsidR="00373726" w:rsidRPr="004B14A7" w:rsidRDefault="00373726">
            <w:pPr>
              <w:rPr>
                <w:rFonts w:asciiTheme="minorHAnsi" w:hAnsiTheme="minorHAnsi" w:cstheme="minorHAnsi"/>
                <w:b/>
              </w:rPr>
            </w:pPr>
          </w:p>
        </w:tc>
      </w:tr>
      <w:tr w:rsidR="00373726" w:rsidRPr="004B7A0E" w14:paraId="459C72F5" w14:textId="77777777" w:rsidTr="004B14A7">
        <w:tc>
          <w:tcPr>
            <w:tcW w:w="1283" w:type="pct"/>
          </w:tcPr>
          <w:p w14:paraId="3593DCB2" w14:textId="5CCD7A2C" w:rsidR="00373726" w:rsidRPr="004B14A7" w:rsidRDefault="00373726">
            <w:pPr>
              <w:rPr>
                <w:rFonts w:asciiTheme="minorHAnsi" w:hAnsiTheme="minorHAnsi" w:cstheme="minorHAnsi"/>
                <w:b/>
              </w:rPr>
            </w:pPr>
            <w:r w:rsidRPr="004B14A7">
              <w:rPr>
                <w:rFonts w:asciiTheme="minorHAnsi" w:hAnsiTheme="minorHAnsi" w:cstheme="minorHAnsi"/>
                <w:b/>
              </w:rPr>
              <w:lastRenderedPageBreak/>
              <w:t xml:space="preserve">Zmírňování změny klimatu </w:t>
            </w:r>
          </w:p>
          <w:p w14:paraId="04865D61" w14:textId="77777777" w:rsidR="00373726" w:rsidRPr="004B14A7" w:rsidRDefault="00373726">
            <w:pPr>
              <w:rPr>
                <w:rFonts w:asciiTheme="minorHAnsi" w:hAnsiTheme="minorHAnsi" w:cstheme="minorHAnsi"/>
                <w:b/>
              </w:rPr>
            </w:pPr>
          </w:p>
        </w:tc>
        <w:tc>
          <w:tcPr>
            <w:tcW w:w="1858" w:type="pct"/>
          </w:tcPr>
          <w:p w14:paraId="31B8F502" w14:textId="3CD2A965" w:rsidR="00373726" w:rsidRPr="004B7A0E" w:rsidRDefault="00AB24E0" w:rsidP="00AB24E0">
            <w:pPr>
              <w:jc w:val="both"/>
              <w:rPr>
                <w:rFonts w:asciiTheme="minorHAnsi" w:hAnsiTheme="minorHAnsi" w:cstheme="minorHAnsi"/>
              </w:rPr>
            </w:pPr>
            <w:r>
              <w:rPr>
                <w:rFonts w:asciiTheme="minorHAnsi" w:hAnsiTheme="minorHAnsi" w:cstheme="minorHAnsi"/>
              </w:rPr>
              <w:t xml:space="preserve">No specific DNSH conditions were identified in the National Recovery Plan as well as in the Council Implementing Decision. </w:t>
            </w:r>
            <w:r w:rsidRPr="00AB24E0">
              <w:rPr>
                <w:rFonts w:asciiTheme="minorHAnsi" w:hAnsiTheme="minorHAnsi" w:cstheme="minorHAnsi"/>
              </w:rPr>
              <w:t>The activi</w:t>
            </w:r>
            <w:r>
              <w:rPr>
                <w:rFonts w:asciiTheme="minorHAnsi" w:hAnsiTheme="minorHAnsi" w:cstheme="minorHAnsi"/>
              </w:rPr>
              <w:t>ty triggered by the measure was identified as having</w:t>
            </w:r>
            <w:r w:rsidRPr="00AB24E0">
              <w:rPr>
                <w:rFonts w:asciiTheme="minorHAnsi" w:hAnsiTheme="minorHAnsi" w:cstheme="minorHAnsi"/>
              </w:rPr>
              <w:t xml:space="preserve"> negligible foreseeable impact on the environmental target, taking into account both direct and indirect life cycle impacts. No risks of environme</w:t>
            </w:r>
            <w:r>
              <w:rPr>
                <w:rFonts w:asciiTheme="minorHAnsi" w:hAnsiTheme="minorHAnsi" w:cstheme="minorHAnsi"/>
              </w:rPr>
              <w:t>ntal degradation were identified.</w:t>
            </w:r>
          </w:p>
        </w:tc>
        <w:tc>
          <w:tcPr>
            <w:tcW w:w="1859" w:type="pct"/>
          </w:tcPr>
          <w:p w14:paraId="4084E6F1" w14:textId="77777777" w:rsidR="00373726" w:rsidRPr="004B7A0E" w:rsidRDefault="00373726">
            <w:pPr>
              <w:rPr>
                <w:rFonts w:asciiTheme="minorHAnsi" w:hAnsiTheme="minorHAnsi" w:cstheme="minorHAnsi"/>
              </w:rPr>
            </w:pPr>
          </w:p>
        </w:tc>
      </w:tr>
      <w:tr w:rsidR="00373726" w:rsidRPr="004B7A0E" w14:paraId="3CEC97AC" w14:textId="77777777" w:rsidTr="004B14A7">
        <w:tc>
          <w:tcPr>
            <w:tcW w:w="1283" w:type="pct"/>
          </w:tcPr>
          <w:p w14:paraId="1DF2FED1" w14:textId="77777777" w:rsidR="00373726" w:rsidRPr="004B14A7" w:rsidRDefault="00373726">
            <w:pPr>
              <w:rPr>
                <w:rFonts w:asciiTheme="minorHAnsi" w:hAnsiTheme="minorHAnsi" w:cstheme="minorHAnsi"/>
                <w:b/>
              </w:rPr>
            </w:pPr>
            <w:r w:rsidRPr="004B14A7">
              <w:rPr>
                <w:rFonts w:asciiTheme="minorHAnsi" w:hAnsiTheme="minorHAnsi" w:cstheme="minorHAnsi"/>
                <w:b/>
              </w:rPr>
              <w:t xml:space="preserve">Přizpůsobování se změně klimatu </w:t>
            </w:r>
          </w:p>
        </w:tc>
        <w:tc>
          <w:tcPr>
            <w:tcW w:w="1858" w:type="pct"/>
          </w:tcPr>
          <w:p w14:paraId="0E265B4A" w14:textId="2FE0FE47" w:rsidR="00373726" w:rsidRPr="004B7A0E" w:rsidRDefault="00AB24E0">
            <w:pPr>
              <w:rPr>
                <w:rFonts w:asciiTheme="minorHAnsi" w:hAnsiTheme="minorHAnsi" w:cstheme="minorHAnsi"/>
              </w:rPr>
            </w:pPr>
            <w:r>
              <w:rPr>
                <w:rFonts w:asciiTheme="minorHAnsi" w:hAnsiTheme="minorHAnsi" w:cstheme="minorHAnsi"/>
              </w:rPr>
              <w:t xml:space="preserve">No specific DNSH conditions were identified in the National Recovery Plan as well as in the Council Implementing Decision. </w:t>
            </w:r>
            <w:r w:rsidRPr="00AB24E0">
              <w:rPr>
                <w:rFonts w:asciiTheme="minorHAnsi" w:hAnsiTheme="minorHAnsi" w:cstheme="minorHAnsi"/>
              </w:rPr>
              <w:t>The activi</w:t>
            </w:r>
            <w:r>
              <w:rPr>
                <w:rFonts w:asciiTheme="minorHAnsi" w:hAnsiTheme="minorHAnsi" w:cstheme="minorHAnsi"/>
              </w:rPr>
              <w:t>ty triggered by the measure was identified as having</w:t>
            </w:r>
            <w:r w:rsidRPr="00AB24E0">
              <w:rPr>
                <w:rFonts w:asciiTheme="minorHAnsi" w:hAnsiTheme="minorHAnsi" w:cstheme="minorHAnsi"/>
              </w:rPr>
              <w:t xml:space="preserve"> negligible foreseeable impact on the environmental target, taking into account both direct and indirect life cycle impacts. No risks of environme</w:t>
            </w:r>
            <w:r>
              <w:rPr>
                <w:rFonts w:asciiTheme="minorHAnsi" w:hAnsiTheme="minorHAnsi" w:cstheme="minorHAnsi"/>
              </w:rPr>
              <w:t>ntal degradation were identified.</w:t>
            </w:r>
          </w:p>
        </w:tc>
        <w:tc>
          <w:tcPr>
            <w:tcW w:w="1859" w:type="pct"/>
          </w:tcPr>
          <w:p w14:paraId="4EB97C91" w14:textId="77777777" w:rsidR="00373726" w:rsidRPr="004B7A0E" w:rsidRDefault="00373726">
            <w:pPr>
              <w:rPr>
                <w:rFonts w:asciiTheme="minorHAnsi" w:hAnsiTheme="minorHAnsi" w:cstheme="minorHAnsi"/>
              </w:rPr>
            </w:pPr>
          </w:p>
        </w:tc>
      </w:tr>
      <w:tr w:rsidR="00373726" w:rsidRPr="004B7A0E" w14:paraId="48E2A83F" w14:textId="77777777" w:rsidTr="004B14A7">
        <w:tc>
          <w:tcPr>
            <w:tcW w:w="1283" w:type="pct"/>
          </w:tcPr>
          <w:p w14:paraId="5B8388E2" w14:textId="77777777" w:rsidR="00373726" w:rsidRPr="004B14A7" w:rsidRDefault="00373726">
            <w:pPr>
              <w:rPr>
                <w:rFonts w:asciiTheme="minorHAnsi" w:hAnsiTheme="minorHAnsi" w:cstheme="minorHAnsi"/>
                <w:b/>
              </w:rPr>
            </w:pPr>
            <w:r w:rsidRPr="004B14A7">
              <w:rPr>
                <w:rFonts w:asciiTheme="minorHAnsi" w:hAnsiTheme="minorHAnsi" w:cstheme="minorHAnsi"/>
                <w:b/>
              </w:rPr>
              <w:t>Udržitelné využívání a ochrana vodních a mořských zdrojů</w:t>
            </w:r>
          </w:p>
        </w:tc>
        <w:tc>
          <w:tcPr>
            <w:tcW w:w="1858" w:type="pct"/>
          </w:tcPr>
          <w:p w14:paraId="6027396A" w14:textId="6587A536" w:rsidR="00373726" w:rsidRPr="004B7A0E" w:rsidRDefault="00AB24E0">
            <w:pPr>
              <w:rPr>
                <w:rFonts w:asciiTheme="minorHAnsi" w:hAnsiTheme="minorHAnsi" w:cstheme="minorHAnsi"/>
              </w:rPr>
            </w:pPr>
            <w:r>
              <w:rPr>
                <w:rFonts w:asciiTheme="minorHAnsi" w:hAnsiTheme="minorHAnsi" w:cstheme="minorHAnsi"/>
              </w:rPr>
              <w:t xml:space="preserve">No specific DNSH conditions were identified in the National Recovery Plan as well as in the Council Implementing Decision. </w:t>
            </w:r>
            <w:r w:rsidRPr="00AB24E0">
              <w:rPr>
                <w:rFonts w:asciiTheme="minorHAnsi" w:hAnsiTheme="minorHAnsi" w:cstheme="minorHAnsi"/>
              </w:rPr>
              <w:t>The activi</w:t>
            </w:r>
            <w:r>
              <w:rPr>
                <w:rFonts w:asciiTheme="minorHAnsi" w:hAnsiTheme="minorHAnsi" w:cstheme="minorHAnsi"/>
              </w:rPr>
              <w:t>ty triggered by the measure was identified as having</w:t>
            </w:r>
            <w:r w:rsidRPr="00AB24E0">
              <w:rPr>
                <w:rFonts w:asciiTheme="minorHAnsi" w:hAnsiTheme="minorHAnsi" w:cstheme="minorHAnsi"/>
              </w:rPr>
              <w:t xml:space="preserve"> negligible foreseeable impact on the environmental target, taking into account both direct and indirect life cycle impacts. No risks of environme</w:t>
            </w:r>
            <w:r>
              <w:rPr>
                <w:rFonts w:asciiTheme="minorHAnsi" w:hAnsiTheme="minorHAnsi" w:cstheme="minorHAnsi"/>
              </w:rPr>
              <w:t>ntal degradation were identified.</w:t>
            </w:r>
          </w:p>
        </w:tc>
        <w:tc>
          <w:tcPr>
            <w:tcW w:w="1859" w:type="pct"/>
          </w:tcPr>
          <w:p w14:paraId="367530EC" w14:textId="77777777" w:rsidR="00373726" w:rsidRPr="004B7A0E" w:rsidRDefault="00373726">
            <w:pPr>
              <w:rPr>
                <w:rFonts w:asciiTheme="minorHAnsi" w:hAnsiTheme="minorHAnsi" w:cstheme="minorHAnsi"/>
              </w:rPr>
            </w:pPr>
          </w:p>
        </w:tc>
      </w:tr>
      <w:tr w:rsidR="00373726" w:rsidRPr="004B7A0E" w14:paraId="0EC36641" w14:textId="77777777" w:rsidTr="004B14A7">
        <w:tc>
          <w:tcPr>
            <w:tcW w:w="1283" w:type="pct"/>
          </w:tcPr>
          <w:p w14:paraId="3A5D62E9" w14:textId="77777777" w:rsidR="00373726" w:rsidRPr="004B14A7" w:rsidRDefault="00373726">
            <w:pPr>
              <w:rPr>
                <w:rFonts w:asciiTheme="minorHAnsi" w:hAnsiTheme="minorHAnsi" w:cstheme="minorHAnsi"/>
                <w:b/>
              </w:rPr>
            </w:pPr>
            <w:r w:rsidRPr="004B14A7">
              <w:rPr>
                <w:rFonts w:asciiTheme="minorHAnsi" w:hAnsiTheme="minorHAnsi" w:cstheme="minorHAnsi"/>
                <w:b/>
              </w:rPr>
              <w:t>Oběhové hospodářství včetně předcházení vzniku odpadů a recyklace</w:t>
            </w:r>
          </w:p>
        </w:tc>
        <w:tc>
          <w:tcPr>
            <w:tcW w:w="1858" w:type="pct"/>
          </w:tcPr>
          <w:p w14:paraId="2BA85F4F" w14:textId="1FD9E408" w:rsidR="00373726" w:rsidRPr="004B7A0E" w:rsidRDefault="00AB24E0">
            <w:pPr>
              <w:rPr>
                <w:rFonts w:asciiTheme="minorHAnsi" w:hAnsiTheme="minorHAnsi" w:cstheme="minorHAnsi"/>
              </w:rPr>
            </w:pPr>
            <w:r>
              <w:rPr>
                <w:rFonts w:asciiTheme="minorHAnsi" w:hAnsiTheme="minorHAnsi" w:cstheme="minorHAnsi"/>
              </w:rPr>
              <w:t xml:space="preserve">No specific DNSH conditions were identified in the National Recovery Plan as well as in the Council Implementing Decision. </w:t>
            </w:r>
            <w:r w:rsidRPr="00AB24E0">
              <w:rPr>
                <w:rFonts w:asciiTheme="minorHAnsi" w:hAnsiTheme="minorHAnsi" w:cstheme="minorHAnsi"/>
              </w:rPr>
              <w:t>The activi</w:t>
            </w:r>
            <w:r>
              <w:rPr>
                <w:rFonts w:asciiTheme="minorHAnsi" w:hAnsiTheme="minorHAnsi" w:cstheme="minorHAnsi"/>
              </w:rPr>
              <w:t>ty triggered by the measure was identified as having</w:t>
            </w:r>
            <w:r w:rsidRPr="00AB24E0">
              <w:rPr>
                <w:rFonts w:asciiTheme="minorHAnsi" w:hAnsiTheme="minorHAnsi" w:cstheme="minorHAnsi"/>
              </w:rPr>
              <w:t xml:space="preserve"> negligible foreseeable impact on the environmental target, taking into account both </w:t>
            </w:r>
            <w:r w:rsidRPr="00AB24E0">
              <w:rPr>
                <w:rFonts w:asciiTheme="minorHAnsi" w:hAnsiTheme="minorHAnsi" w:cstheme="minorHAnsi"/>
              </w:rPr>
              <w:lastRenderedPageBreak/>
              <w:t>direct and indirect life cycle impacts. No risks of environme</w:t>
            </w:r>
            <w:r>
              <w:rPr>
                <w:rFonts w:asciiTheme="minorHAnsi" w:hAnsiTheme="minorHAnsi" w:cstheme="minorHAnsi"/>
              </w:rPr>
              <w:t>ntal degradation were identified.</w:t>
            </w:r>
          </w:p>
        </w:tc>
        <w:tc>
          <w:tcPr>
            <w:tcW w:w="1859" w:type="pct"/>
          </w:tcPr>
          <w:p w14:paraId="1252D509" w14:textId="77777777" w:rsidR="00373726" w:rsidRPr="004B7A0E" w:rsidRDefault="00373726">
            <w:pPr>
              <w:rPr>
                <w:rFonts w:asciiTheme="minorHAnsi" w:hAnsiTheme="minorHAnsi" w:cstheme="minorHAnsi"/>
              </w:rPr>
            </w:pPr>
          </w:p>
        </w:tc>
      </w:tr>
      <w:tr w:rsidR="00373726" w:rsidRPr="004B7A0E" w14:paraId="4A071A13" w14:textId="77777777" w:rsidTr="004B14A7">
        <w:tc>
          <w:tcPr>
            <w:tcW w:w="1283" w:type="pct"/>
          </w:tcPr>
          <w:p w14:paraId="793696FD" w14:textId="3D789F30" w:rsidR="00373726" w:rsidRPr="004B14A7" w:rsidRDefault="00373726">
            <w:pPr>
              <w:rPr>
                <w:rFonts w:asciiTheme="minorHAnsi" w:hAnsiTheme="minorHAnsi" w:cstheme="minorHAnsi"/>
                <w:b/>
              </w:rPr>
            </w:pPr>
            <w:r w:rsidRPr="004B14A7">
              <w:rPr>
                <w:rFonts w:asciiTheme="minorHAnsi" w:hAnsiTheme="minorHAnsi" w:cstheme="minorHAnsi"/>
                <w:b/>
              </w:rPr>
              <w:t>Prevence a omezování znečištění ovzduší, vody nebo půdy</w:t>
            </w:r>
          </w:p>
        </w:tc>
        <w:tc>
          <w:tcPr>
            <w:tcW w:w="1858" w:type="pct"/>
          </w:tcPr>
          <w:p w14:paraId="3E4B5DC6" w14:textId="050DD177" w:rsidR="00373726" w:rsidRPr="004B7A0E" w:rsidRDefault="00AB24E0">
            <w:pPr>
              <w:rPr>
                <w:rFonts w:asciiTheme="minorHAnsi" w:hAnsiTheme="minorHAnsi" w:cstheme="minorHAnsi"/>
              </w:rPr>
            </w:pPr>
            <w:r>
              <w:rPr>
                <w:rFonts w:asciiTheme="minorHAnsi" w:hAnsiTheme="minorHAnsi" w:cstheme="minorHAnsi"/>
              </w:rPr>
              <w:t xml:space="preserve">No specific DNSH conditions were identified in the National Recovery Plan as well as in the Council Implementing Decision. </w:t>
            </w:r>
            <w:r w:rsidRPr="00AB24E0">
              <w:rPr>
                <w:rFonts w:asciiTheme="minorHAnsi" w:hAnsiTheme="minorHAnsi" w:cstheme="minorHAnsi"/>
              </w:rPr>
              <w:t>The activi</w:t>
            </w:r>
            <w:r>
              <w:rPr>
                <w:rFonts w:asciiTheme="minorHAnsi" w:hAnsiTheme="minorHAnsi" w:cstheme="minorHAnsi"/>
              </w:rPr>
              <w:t>ty triggered by the measure was identified as having</w:t>
            </w:r>
            <w:r w:rsidRPr="00AB24E0">
              <w:rPr>
                <w:rFonts w:asciiTheme="minorHAnsi" w:hAnsiTheme="minorHAnsi" w:cstheme="minorHAnsi"/>
              </w:rPr>
              <w:t xml:space="preserve"> negligible foreseeable impact on the environmental target, taking into account both direct and indirect life cycle impacts. No risks of environme</w:t>
            </w:r>
            <w:r>
              <w:rPr>
                <w:rFonts w:asciiTheme="minorHAnsi" w:hAnsiTheme="minorHAnsi" w:cstheme="minorHAnsi"/>
              </w:rPr>
              <w:t>ntal degradation were identified.</w:t>
            </w:r>
          </w:p>
        </w:tc>
        <w:tc>
          <w:tcPr>
            <w:tcW w:w="1859" w:type="pct"/>
          </w:tcPr>
          <w:p w14:paraId="37977F9A" w14:textId="77777777" w:rsidR="00373726" w:rsidRPr="004B7A0E" w:rsidRDefault="00373726">
            <w:pPr>
              <w:rPr>
                <w:rFonts w:asciiTheme="minorHAnsi" w:hAnsiTheme="minorHAnsi" w:cstheme="minorHAnsi"/>
              </w:rPr>
            </w:pPr>
          </w:p>
        </w:tc>
      </w:tr>
      <w:tr w:rsidR="00373726" w:rsidRPr="004B7A0E" w14:paraId="1960837D" w14:textId="77777777" w:rsidTr="004B14A7">
        <w:tc>
          <w:tcPr>
            <w:tcW w:w="1283" w:type="pct"/>
          </w:tcPr>
          <w:p w14:paraId="0D8030A9" w14:textId="77777777" w:rsidR="00373726" w:rsidRPr="004B14A7" w:rsidRDefault="00373726">
            <w:pPr>
              <w:rPr>
                <w:rFonts w:asciiTheme="minorHAnsi" w:hAnsiTheme="minorHAnsi" w:cstheme="minorHAnsi"/>
                <w:b/>
              </w:rPr>
            </w:pPr>
            <w:r w:rsidRPr="004B14A7">
              <w:rPr>
                <w:rFonts w:asciiTheme="minorHAnsi" w:hAnsiTheme="minorHAnsi" w:cstheme="minorHAnsi"/>
                <w:b/>
              </w:rPr>
              <w:t>Ochrana a obnova biologické rozmanitosti a ekosystémů</w:t>
            </w:r>
          </w:p>
        </w:tc>
        <w:tc>
          <w:tcPr>
            <w:tcW w:w="1858" w:type="pct"/>
          </w:tcPr>
          <w:p w14:paraId="09D76A23" w14:textId="7E296B70" w:rsidR="00373726" w:rsidRPr="004B7A0E" w:rsidRDefault="00AB24E0">
            <w:pPr>
              <w:rPr>
                <w:rFonts w:asciiTheme="minorHAnsi" w:hAnsiTheme="minorHAnsi" w:cstheme="minorHAnsi"/>
              </w:rPr>
            </w:pPr>
            <w:r>
              <w:rPr>
                <w:rFonts w:asciiTheme="minorHAnsi" w:hAnsiTheme="minorHAnsi" w:cstheme="minorHAnsi"/>
              </w:rPr>
              <w:t xml:space="preserve">No specific DNSH conditions were identified in the National Recovery Plan as well as in the Council Implementing Decision. </w:t>
            </w:r>
            <w:r w:rsidRPr="00AB24E0">
              <w:rPr>
                <w:rFonts w:asciiTheme="minorHAnsi" w:hAnsiTheme="minorHAnsi" w:cstheme="minorHAnsi"/>
              </w:rPr>
              <w:t>The activi</w:t>
            </w:r>
            <w:r>
              <w:rPr>
                <w:rFonts w:asciiTheme="minorHAnsi" w:hAnsiTheme="minorHAnsi" w:cstheme="minorHAnsi"/>
              </w:rPr>
              <w:t>ty triggered by the measure was identified as having</w:t>
            </w:r>
            <w:r w:rsidRPr="00AB24E0">
              <w:rPr>
                <w:rFonts w:asciiTheme="minorHAnsi" w:hAnsiTheme="minorHAnsi" w:cstheme="minorHAnsi"/>
              </w:rPr>
              <w:t xml:space="preserve"> negligible foreseeable impact on the environmental target, taking into account both direct and indirect life cycle impacts. No risks of environme</w:t>
            </w:r>
            <w:r>
              <w:rPr>
                <w:rFonts w:asciiTheme="minorHAnsi" w:hAnsiTheme="minorHAnsi" w:cstheme="minorHAnsi"/>
              </w:rPr>
              <w:t>ntal degradation were identified.</w:t>
            </w:r>
          </w:p>
        </w:tc>
        <w:tc>
          <w:tcPr>
            <w:tcW w:w="1859" w:type="pct"/>
          </w:tcPr>
          <w:p w14:paraId="7362338C" w14:textId="77777777" w:rsidR="00373726" w:rsidRPr="004B7A0E" w:rsidRDefault="00373726">
            <w:pPr>
              <w:rPr>
                <w:rFonts w:asciiTheme="minorHAnsi" w:hAnsiTheme="minorHAnsi" w:cstheme="minorHAnsi"/>
              </w:rPr>
            </w:pPr>
          </w:p>
        </w:tc>
      </w:tr>
    </w:tbl>
    <w:p w14:paraId="26A10F2E" w14:textId="77777777" w:rsidR="00C11CF4" w:rsidRPr="004B7A0E" w:rsidRDefault="00C11CF4" w:rsidP="00A37F0D">
      <w:pPr>
        <w:rPr>
          <w:rFonts w:asciiTheme="minorHAnsi" w:hAnsiTheme="minorHAnsi" w:cstheme="minorHAnsi"/>
          <w:i/>
          <w:iCs/>
        </w:rPr>
      </w:pPr>
    </w:p>
    <w:p w14:paraId="14B37DA7" w14:textId="77777777" w:rsidR="00AB24E0" w:rsidRDefault="00AB24E0" w:rsidP="00AB24E0">
      <w:pPr>
        <w:ind w:firstLine="708"/>
        <w:jc w:val="both"/>
        <w:rPr>
          <w:rFonts w:asciiTheme="minorHAnsi" w:hAnsiTheme="minorHAnsi" w:cstheme="minorHAnsi"/>
          <w:highlight w:val="yellow"/>
        </w:rPr>
      </w:pPr>
    </w:p>
    <w:p w14:paraId="4B8A5A5C" w14:textId="0AE956E9" w:rsidR="00AB24E0" w:rsidRPr="004B7A0E" w:rsidRDefault="00AB24E0" w:rsidP="00AB24E0">
      <w:pPr>
        <w:ind w:firstLine="708"/>
        <w:jc w:val="both"/>
        <w:rPr>
          <w:rFonts w:asciiTheme="minorHAnsi" w:hAnsiTheme="minorHAnsi" w:cstheme="minorHAnsi"/>
        </w:rPr>
      </w:pPr>
      <w:r w:rsidRPr="00AB24E0">
        <w:rPr>
          <w:rFonts w:asciiTheme="minorHAnsi" w:hAnsiTheme="minorHAnsi" w:cstheme="minorHAnsi"/>
        </w:rPr>
        <w:t>Potvrzuji, že během realizace projektu byla splněna zásada významně nepoškozovat v rámci Nástroje pro oživení a odolnost ve smyslu čl. 17 Nařízení Evropského parlamentu a Rady (EU) č. 2020/852 ze dne 18. června 2020 o zřízení rámce pro usnadnění udržitelných investic a o změně nařízení (EU) 2019/2088 (tzv. „Nařízení o Taxonomii“).</w:t>
      </w:r>
    </w:p>
    <w:p w14:paraId="15B94E4C" w14:textId="77777777" w:rsidR="00AB24E0" w:rsidRPr="004B7A0E" w:rsidRDefault="00AB24E0" w:rsidP="00AB24E0">
      <w:pPr>
        <w:rPr>
          <w:rFonts w:asciiTheme="minorHAnsi" w:hAnsiTheme="minorHAnsi" w:cstheme="minorHAnsi"/>
        </w:rPr>
      </w:pPr>
    </w:p>
    <w:p w14:paraId="16E06B8E" w14:textId="77777777" w:rsidR="00AB24E0" w:rsidRDefault="00AB24E0" w:rsidP="00AB24E0">
      <w:pPr>
        <w:rPr>
          <w:rFonts w:asciiTheme="minorHAnsi" w:hAnsiTheme="minorHAnsi" w:cstheme="minorHAnsi"/>
        </w:rPr>
      </w:pPr>
    </w:p>
    <w:p w14:paraId="3A8AE873" w14:textId="77777777" w:rsidR="00AB24E0" w:rsidRPr="004B7A0E" w:rsidRDefault="00AB24E0" w:rsidP="00AB24E0">
      <w:pPr>
        <w:rPr>
          <w:rFonts w:asciiTheme="minorHAnsi" w:hAnsiTheme="minorHAnsi" w:cstheme="minorHAnsi"/>
        </w:rPr>
      </w:pPr>
    </w:p>
    <w:p w14:paraId="7E0450A6" w14:textId="77777777" w:rsidR="00AB24E0" w:rsidRPr="004B7A0E" w:rsidRDefault="00AB24E0" w:rsidP="00AB24E0">
      <w:pPr>
        <w:rPr>
          <w:rFonts w:asciiTheme="minorHAnsi" w:hAnsiTheme="minorHAnsi" w:cstheme="minorHAnsi"/>
        </w:rPr>
      </w:pPr>
    </w:p>
    <w:p w14:paraId="0696FE73" w14:textId="77777777" w:rsidR="00AB24E0" w:rsidRPr="004B7A0E" w:rsidRDefault="00AB24E0" w:rsidP="00AB24E0">
      <w:pPr>
        <w:tabs>
          <w:tab w:val="left" w:pos="5670"/>
        </w:tabs>
        <w:rPr>
          <w:rFonts w:asciiTheme="minorHAnsi" w:hAnsiTheme="minorHAnsi" w:cstheme="minorHAnsi"/>
        </w:rPr>
      </w:pPr>
      <w:r w:rsidRPr="004B7A0E">
        <w:rPr>
          <w:rFonts w:asciiTheme="minorHAnsi" w:hAnsiTheme="minorHAnsi" w:cstheme="minorHAnsi"/>
        </w:rPr>
        <w:t>V ………… dne</w:t>
      </w:r>
      <w:r>
        <w:rPr>
          <w:rFonts w:asciiTheme="minorHAnsi" w:hAnsiTheme="minorHAnsi" w:cstheme="minorHAnsi"/>
        </w:rPr>
        <w:t xml:space="preserve"> </w:t>
      </w:r>
      <w:r w:rsidRPr="004B7A0E">
        <w:rPr>
          <w:rFonts w:asciiTheme="minorHAnsi" w:hAnsiTheme="minorHAnsi" w:cstheme="minorHAnsi"/>
        </w:rPr>
        <w:t>…….</w:t>
      </w:r>
      <w:r w:rsidRPr="004B7A0E">
        <w:rPr>
          <w:rFonts w:asciiTheme="minorHAnsi" w:hAnsiTheme="minorHAnsi" w:cstheme="minorHAnsi"/>
        </w:rPr>
        <w:tab/>
        <w:t>Podpis</w:t>
      </w:r>
    </w:p>
    <w:p w14:paraId="69AC24EB" w14:textId="77777777" w:rsidR="00AB24E0" w:rsidRPr="004B7A0E" w:rsidRDefault="00AB24E0" w:rsidP="00AB24E0">
      <w:pPr>
        <w:tabs>
          <w:tab w:val="left" w:pos="5670"/>
        </w:tabs>
        <w:rPr>
          <w:rFonts w:asciiTheme="minorHAnsi" w:hAnsiTheme="minorHAnsi" w:cstheme="minorHAnsi"/>
        </w:rPr>
      </w:pPr>
    </w:p>
    <w:p w14:paraId="16245998" w14:textId="336A01D9" w:rsidR="006A2F59" w:rsidRPr="004B7A0E" w:rsidRDefault="006A2F59" w:rsidP="004B14A7">
      <w:pPr>
        <w:rPr>
          <w:rFonts w:asciiTheme="minorHAnsi" w:hAnsiTheme="minorHAnsi" w:cstheme="minorHAnsi"/>
          <w:sz w:val="20"/>
          <w:szCs w:val="20"/>
        </w:rPr>
      </w:pPr>
    </w:p>
    <w:sectPr w:rsidR="006A2F59" w:rsidRPr="004B7A0E" w:rsidSect="004B14A7">
      <w:headerReference w:type="even" r:id="rId11"/>
      <w:headerReference w:type="default" r:id="rId12"/>
      <w:footerReference w:type="even" r:id="rId13"/>
      <w:footerReference w:type="default" r:id="rId14"/>
      <w:headerReference w:type="first" r:id="rId15"/>
      <w:footerReference w:type="first" r:id="rId16"/>
      <w:pgSz w:w="16838" w:h="11906" w:orient="landscape"/>
      <w:pgMar w:top="1417" w:right="1893" w:bottom="1275"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744AD" w14:textId="77777777" w:rsidR="00704C48" w:rsidRDefault="00704C48" w:rsidP="00943D8D">
      <w:r>
        <w:separator/>
      </w:r>
    </w:p>
  </w:endnote>
  <w:endnote w:type="continuationSeparator" w:id="0">
    <w:p w14:paraId="1C2E5B26" w14:textId="77777777" w:rsidR="00704C48" w:rsidRDefault="00704C48" w:rsidP="00943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C2BD4" w14:textId="77777777" w:rsidR="00EB7C16" w:rsidRDefault="00EB7C16" w:rsidP="00C97075">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p w14:paraId="571A3F34" w14:textId="77777777" w:rsidR="00EB7C16" w:rsidRDefault="00EB7C16" w:rsidP="00EB7C16">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65168" w14:textId="4354C1F5" w:rsidR="004B7A0E" w:rsidRDefault="004B7A0E" w:rsidP="00795001">
    <w:pPr>
      <w:pStyle w:val="Zpat"/>
    </w:pPr>
  </w:p>
  <w:p w14:paraId="04E22C88" w14:textId="77777777" w:rsidR="00EB7C16" w:rsidRDefault="00EB7C16" w:rsidP="00EB7C16">
    <w:pPr>
      <w:pStyle w:val="Zpa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57A66" w14:textId="77777777" w:rsidR="00BE35AD" w:rsidRDefault="00BE35AD">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326F2" w14:textId="77777777" w:rsidR="00704C48" w:rsidRDefault="00704C48" w:rsidP="00943D8D">
      <w:r>
        <w:separator/>
      </w:r>
    </w:p>
  </w:footnote>
  <w:footnote w:type="continuationSeparator" w:id="0">
    <w:p w14:paraId="0188D74D" w14:textId="77777777" w:rsidR="00704C48" w:rsidRDefault="00704C48" w:rsidP="00943D8D">
      <w:r>
        <w:continuationSeparator/>
      </w:r>
    </w:p>
  </w:footnote>
  <w:footnote w:id="1">
    <w:p w14:paraId="7BA7EEA1" w14:textId="73C1367D" w:rsidR="0036184F" w:rsidRDefault="0036184F">
      <w:pPr>
        <w:pStyle w:val="Textpoznpodarou"/>
      </w:pPr>
      <w:r>
        <w:rPr>
          <w:rStyle w:val="Znakapoznpodarou"/>
        </w:rPr>
        <w:footnoteRef/>
      </w:r>
      <w:r>
        <w:t xml:space="preserve"> Vyplňuje vlastník komponenty</w:t>
      </w:r>
    </w:p>
  </w:footnote>
  <w:footnote w:id="2">
    <w:p w14:paraId="6D675D87" w14:textId="3BD373E8" w:rsidR="0036184F" w:rsidRDefault="0036184F" w:rsidP="0036184F">
      <w:pPr>
        <w:pStyle w:val="Textpoznpodarou"/>
      </w:pPr>
      <w:r>
        <w:rPr>
          <w:rStyle w:val="Znakapoznpodarou"/>
        </w:rPr>
        <w:footnoteRef/>
      </w:r>
      <w:r>
        <w:t xml:space="preserve"> Vyplňuje subjekt pověřený k reportování, tj. buď vlastník komponenty, nebo ten, který vykonává činnost na opatření (organizační složka státu, státní příspěvková organizace, firma aj.)</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C8709" w14:textId="77777777" w:rsidR="00BE35AD" w:rsidRDefault="00BE35AD">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B3CA1" w14:textId="3E705C67" w:rsidR="002357FA" w:rsidRDefault="002357FA" w:rsidP="002357FA">
    <w:pPr>
      <w:pStyle w:val="Zhlav"/>
      <w:ind w:left="708"/>
    </w:pPr>
  </w:p>
  <w:p w14:paraId="3581AA3B" w14:textId="77777777" w:rsidR="002357FA" w:rsidRPr="002357FA" w:rsidRDefault="002357FA" w:rsidP="002357FA">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AF325" w14:textId="54A4FE5E" w:rsidR="00116ADE" w:rsidRDefault="00116ADE" w:rsidP="004B7A0E">
    <w:pPr>
      <w:pStyle w:val="Zhlav"/>
      <w:ind w:left="708"/>
    </w:pPr>
    <w:r>
      <w:rPr>
        <w:noProof/>
        <w:lang w:eastAsia="cs-CZ"/>
      </w:rPr>
      <w:drawing>
        <wp:anchor distT="0" distB="0" distL="114300" distR="114300" simplePos="0" relativeHeight="251656704" behindDoc="0" locked="0" layoutInCell="1" allowOverlap="1" wp14:anchorId="2092FAC3" wp14:editId="40F14F87">
          <wp:simplePos x="0" y="0"/>
          <wp:positionH relativeFrom="column">
            <wp:posOffset>7128510</wp:posOffset>
          </wp:positionH>
          <wp:positionV relativeFrom="paragraph">
            <wp:posOffset>283210</wp:posOffset>
          </wp:positionV>
          <wp:extent cx="1371600" cy="382905"/>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382905"/>
                  </a:xfrm>
                  <a:prstGeom prst="rect">
                    <a:avLst/>
                  </a:prstGeom>
                  <a:noFill/>
                  <a:ln>
                    <a:noFill/>
                  </a:ln>
                </pic:spPr>
              </pic:pic>
            </a:graphicData>
          </a:graphic>
          <wp14:sizeRelH relativeFrom="page">
            <wp14:pctWidth>0</wp14:pctWidth>
          </wp14:sizeRelH>
          <wp14:sizeRelV relativeFrom="page">
            <wp14:pctHeight>0</wp14:pctHeight>
          </wp14:sizeRelV>
        </wp:anchor>
      </w:drawing>
    </w:r>
    <w:r w:rsidR="00BE35AD">
      <w:t xml:space="preserve">                                </w:t>
    </w:r>
    <w:r w:rsidR="00BE35AD" w:rsidRPr="00BE35AD">
      <w:rPr>
        <w:noProof/>
        <w:lang w:eastAsia="cs-CZ"/>
      </w:rPr>
      <w:t xml:space="preserve"> </w:t>
    </w:r>
    <w:r w:rsidR="00BE35AD">
      <w:rPr>
        <w:noProof/>
        <w:lang w:eastAsia="cs-CZ"/>
      </w:rPr>
      <w:t xml:space="preserve">                    </w:t>
    </w:r>
  </w:p>
  <w:tbl>
    <w:tblPr>
      <w:tblW w:w="9725" w:type="dxa"/>
      <w:tblInd w:w="-34" w:type="dxa"/>
      <w:tblLook w:val="00A0" w:firstRow="1" w:lastRow="0" w:firstColumn="1" w:lastColumn="0" w:noHBand="0" w:noVBand="0"/>
    </w:tblPr>
    <w:tblGrid>
      <w:gridCol w:w="9498"/>
      <w:gridCol w:w="227"/>
    </w:tblGrid>
    <w:tr w:rsidR="00116ADE" w:rsidRPr="00CA28C9" w14:paraId="700CFD5B" w14:textId="77777777" w:rsidTr="00B30812">
      <w:trPr>
        <w:trHeight w:val="988"/>
      </w:trPr>
      <w:tc>
        <w:tcPr>
          <w:tcW w:w="9281" w:type="dxa"/>
        </w:tcPr>
        <w:p w14:paraId="41AAC9C8" w14:textId="03E3C90F" w:rsidR="00116ADE" w:rsidRDefault="00116ADE" w:rsidP="00116ADE">
          <w:r>
            <w:rPr>
              <w:noProof/>
              <w:lang w:eastAsia="cs-CZ"/>
            </w:rPr>
            <w:drawing>
              <wp:anchor distT="0" distB="0" distL="114300" distR="114300" simplePos="0" relativeHeight="251657728" behindDoc="0" locked="0" layoutInCell="1" allowOverlap="1" wp14:anchorId="6CDE8923" wp14:editId="3D5E8A48">
                <wp:simplePos x="0" y="0"/>
                <wp:positionH relativeFrom="margin">
                  <wp:posOffset>1366520</wp:posOffset>
                </wp:positionH>
                <wp:positionV relativeFrom="margin">
                  <wp:posOffset>60325</wp:posOffset>
                </wp:positionV>
                <wp:extent cx="1673225" cy="447675"/>
                <wp:effectExtent l="0" t="0" r="3175" b="9525"/>
                <wp:wrapNone/>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3225" cy="4476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cs-CZ"/>
            </w:rPr>
            <w:drawing>
              <wp:anchor distT="0" distB="0" distL="114300" distR="114300" simplePos="0" relativeHeight="251658752" behindDoc="0" locked="0" layoutInCell="1" allowOverlap="1" wp14:anchorId="303FF47C" wp14:editId="7146E78C">
                <wp:simplePos x="0" y="0"/>
                <wp:positionH relativeFrom="column">
                  <wp:posOffset>4445</wp:posOffset>
                </wp:positionH>
                <wp:positionV relativeFrom="margin">
                  <wp:posOffset>4445</wp:posOffset>
                </wp:positionV>
                <wp:extent cx="1351280" cy="607695"/>
                <wp:effectExtent l="0" t="0" r="1270" b="190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51280" cy="607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0BC74F" w14:textId="77777777" w:rsidR="00116ADE" w:rsidRDefault="00116ADE" w:rsidP="00116ADE">
          <w:pPr>
            <w:tabs>
              <w:tab w:val="left" w:pos="1005"/>
            </w:tabs>
          </w:pPr>
          <w:r>
            <w:tab/>
          </w:r>
        </w:p>
        <w:p w14:paraId="6EEA10BE" w14:textId="77777777" w:rsidR="00116ADE" w:rsidRPr="00665278" w:rsidRDefault="00116ADE" w:rsidP="00116ADE">
          <w:pPr>
            <w:jc w:val="right"/>
          </w:pPr>
        </w:p>
      </w:tc>
      <w:tc>
        <w:tcPr>
          <w:tcW w:w="222" w:type="dxa"/>
          <w:vAlign w:val="center"/>
        </w:tcPr>
        <w:p w14:paraId="24912A35" w14:textId="77777777" w:rsidR="00116ADE" w:rsidRPr="00CA28C9" w:rsidRDefault="00116ADE" w:rsidP="00116ADE">
          <w:pPr>
            <w:tabs>
              <w:tab w:val="left" w:pos="4175"/>
            </w:tabs>
            <w:jc w:val="center"/>
            <w:rPr>
              <w:b/>
              <w:sz w:val="20"/>
              <w:szCs w:val="20"/>
            </w:rPr>
          </w:pPr>
        </w:p>
      </w:tc>
    </w:tr>
  </w:tbl>
  <w:p w14:paraId="7795A525" w14:textId="3759BD96" w:rsidR="004B7A0E" w:rsidRDefault="004B7A0E" w:rsidP="004B7A0E">
    <w:pPr>
      <w:pStyle w:val="Zhlav"/>
      <w:ind w:left="708"/>
    </w:pPr>
  </w:p>
  <w:p w14:paraId="1AB1F618" w14:textId="2128EA6E" w:rsidR="004B7A0E" w:rsidRDefault="00BE35AD" w:rsidP="00BE35AD">
    <w:pPr>
      <w:pStyle w:val="Zhlav"/>
      <w:tabs>
        <w:tab w:val="clear" w:pos="4536"/>
        <w:tab w:val="clear" w:pos="9072"/>
        <w:tab w:val="left" w:pos="597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20D0"/>
    <w:multiLevelType w:val="hybridMultilevel"/>
    <w:tmpl w:val="A63A9B0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FD931A3"/>
    <w:multiLevelType w:val="hybridMultilevel"/>
    <w:tmpl w:val="1CC8A3A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5BC6FE5"/>
    <w:multiLevelType w:val="hybridMultilevel"/>
    <w:tmpl w:val="F13AC378"/>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FA77B35"/>
    <w:multiLevelType w:val="hybridMultilevel"/>
    <w:tmpl w:val="D51414B0"/>
    <w:lvl w:ilvl="0" w:tplc="04050019">
      <w:start w:val="1"/>
      <w:numFmt w:val="lowerLetter"/>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1524AC0"/>
    <w:multiLevelType w:val="hybridMultilevel"/>
    <w:tmpl w:val="B5900710"/>
    <w:lvl w:ilvl="0" w:tplc="04050001">
      <w:start w:val="1"/>
      <w:numFmt w:val="bullet"/>
      <w:lvlText w:val=""/>
      <w:lvlJc w:val="left"/>
      <w:pPr>
        <w:ind w:left="770" w:hanging="360"/>
      </w:pPr>
      <w:rPr>
        <w:rFonts w:ascii="Symbol" w:hAnsi="Symbol" w:hint="default"/>
      </w:rPr>
    </w:lvl>
    <w:lvl w:ilvl="1" w:tplc="04050003" w:tentative="1">
      <w:start w:val="1"/>
      <w:numFmt w:val="bullet"/>
      <w:lvlText w:val="o"/>
      <w:lvlJc w:val="left"/>
      <w:pPr>
        <w:ind w:left="1490" w:hanging="360"/>
      </w:pPr>
      <w:rPr>
        <w:rFonts w:ascii="Courier New" w:hAnsi="Courier New" w:cs="Courier New" w:hint="default"/>
      </w:rPr>
    </w:lvl>
    <w:lvl w:ilvl="2" w:tplc="04050005" w:tentative="1">
      <w:start w:val="1"/>
      <w:numFmt w:val="bullet"/>
      <w:lvlText w:val=""/>
      <w:lvlJc w:val="left"/>
      <w:pPr>
        <w:ind w:left="2210" w:hanging="360"/>
      </w:pPr>
      <w:rPr>
        <w:rFonts w:ascii="Wingdings" w:hAnsi="Wingdings" w:hint="default"/>
      </w:rPr>
    </w:lvl>
    <w:lvl w:ilvl="3" w:tplc="04050001" w:tentative="1">
      <w:start w:val="1"/>
      <w:numFmt w:val="bullet"/>
      <w:lvlText w:val=""/>
      <w:lvlJc w:val="left"/>
      <w:pPr>
        <w:ind w:left="2930" w:hanging="360"/>
      </w:pPr>
      <w:rPr>
        <w:rFonts w:ascii="Symbol" w:hAnsi="Symbol" w:hint="default"/>
      </w:rPr>
    </w:lvl>
    <w:lvl w:ilvl="4" w:tplc="04050003" w:tentative="1">
      <w:start w:val="1"/>
      <w:numFmt w:val="bullet"/>
      <w:lvlText w:val="o"/>
      <w:lvlJc w:val="left"/>
      <w:pPr>
        <w:ind w:left="3650" w:hanging="360"/>
      </w:pPr>
      <w:rPr>
        <w:rFonts w:ascii="Courier New" w:hAnsi="Courier New" w:cs="Courier New" w:hint="default"/>
      </w:rPr>
    </w:lvl>
    <w:lvl w:ilvl="5" w:tplc="04050005" w:tentative="1">
      <w:start w:val="1"/>
      <w:numFmt w:val="bullet"/>
      <w:lvlText w:val=""/>
      <w:lvlJc w:val="left"/>
      <w:pPr>
        <w:ind w:left="4370" w:hanging="360"/>
      </w:pPr>
      <w:rPr>
        <w:rFonts w:ascii="Wingdings" w:hAnsi="Wingdings" w:hint="default"/>
      </w:rPr>
    </w:lvl>
    <w:lvl w:ilvl="6" w:tplc="04050001" w:tentative="1">
      <w:start w:val="1"/>
      <w:numFmt w:val="bullet"/>
      <w:lvlText w:val=""/>
      <w:lvlJc w:val="left"/>
      <w:pPr>
        <w:ind w:left="5090" w:hanging="360"/>
      </w:pPr>
      <w:rPr>
        <w:rFonts w:ascii="Symbol" w:hAnsi="Symbol" w:hint="default"/>
      </w:rPr>
    </w:lvl>
    <w:lvl w:ilvl="7" w:tplc="04050003" w:tentative="1">
      <w:start w:val="1"/>
      <w:numFmt w:val="bullet"/>
      <w:lvlText w:val="o"/>
      <w:lvlJc w:val="left"/>
      <w:pPr>
        <w:ind w:left="5810" w:hanging="360"/>
      </w:pPr>
      <w:rPr>
        <w:rFonts w:ascii="Courier New" w:hAnsi="Courier New" w:cs="Courier New" w:hint="default"/>
      </w:rPr>
    </w:lvl>
    <w:lvl w:ilvl="8" w:tplc="04050005" w:tentative="1">
      <w:start w:val="1"/>
      <w:numFmt w:val="bullet"/>
      <w:lvlText w:val=""/>
      <w:lvlJc w:val="left"/>
      <w:pPr>
        <w:ind w:left="6530" w:hanging="360"/>
      </w:pPr>
      <w:rPr>
        <w:rFonts w:ascii="Wingdings" w:hAnsi="Wingdings" w:hint="default"/>
      </w:rPr>
    </w:lvl>
  </w:abstractNum>
  <w:abstractNum w:abstractNumId="5" w15:restartNumberingAfterBreak="0">
    <w:nsid w:val="39AA791E"/>
    <w:multiLevelType w:val="hybridMultilevel"/>
    <w:tmpl w:val="A3103D3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F6830C2"/>
    <w:multiLevelType w:val="hybridMultilevel"/>
    <w:tmpl w:val="D43E05CA"/>
    <w:lvl w:ilvl="0" w:tplc="AC907D3C">
      <w:start w:val="1"/>
      <w:numFmt w:val="low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77C24D5"/>
    <w:multiLevelType w:val="hybridMultilevel"/>
    <w:tmpl w:val="AC7EEDD8"/>
    <w:lvl w:ilvl="0" w:tplc="8A8E0F64">
      <w:numFmt w:val="bullet"/>
      <w:lvlText w:val="-"/>
      <w:lvlJc w:val="left"/>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554174B4"/>
    <w:multiLevelType w:val="hybridMultilevel"/>
    <w:tmpl w:val="F912EC0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614A259B"/>
    <w:multiLevelType w:val="hybridMultilevel"/>
    <w:tmpl w:val="F28EDAFE"/>
    <w:lvl w:ilvl="0" w:tplc="9BA453F2">
      <w:start w:val="1"/>
      <w:numFmt w:val="lowerRoman"/>
      <w:lvlText w:val="%1)"/>
      <w:lvlJc w:val="left"/>
      <w:pPr>
        <w:ind w:left="1080" w:hanging="720"/>
      </w:pPr>
      <w:rPr>
        <w:rFonts w:hint="default"/>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6EDC347D"/>
    <w:multiLevelType w:val="hybridMultilevel"/>
    <w:tmpl w:val="B1F80592"/>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736543A0"/>
    <w:multiLevelType w:val="hybridMultilevel"/>
    <w:tmpl w:val="CA5496FC"/>
    <w:lvl w:ilvl="0" w:tplc="830625BA">
      <w:start w:val="1"/>
      <w:numFmt w:val="lowerRoman"/>
      <w:lvlText w:val="%1)"/>
      <w:lvlJc w:val="left"/>
      <w:pPr>
        <w:ind w:left="1080" w:hanging="720"/>
      </w:pPr>
      <w:rPr>
        <w:rFonts w:hint="default"/>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26405634">
    <w:abstractNumId w:val="7"/>
  </w:num>
  <w:num w:numId="2" w16cid:durableId="111365104">
    <w:abstractNumId w:val="1"/>
  </w:num>
  <w:num w:numId="3" w16cid:durableId="249511902">
    <w:abstractNumId w:val="3"/>
  </w:num>
  <w:num w:numId="4" w16cid:durableId="1125468488">
    <w:abstractNumId w:val="11"/>
  </w:num>
  <w:num w:numId="5" w16cid:durableId="637757809">
    <w:abstractNumId w:val="9"/>
  </w:num>
  <w:num w:numId="6" w16cid:durableId="123501999">
    <w:abstractNumId w:val="8"/>
  </w:num>
  <w:num w:numId="7" w16cid:durableId="885675634">
    <w:abstractNumId w:val="2"/>
  </w:num>
  <w:num w:numId="8" w16cid:durableId="284697036">
    <w:abstractNumId w:val="10"/>
  </w:num>
  <w:num w:numId="9" w16cid:durableId="550700429">
    <w:abstractNumId w:val="6"/>
  </w:num>
  <w:num w:numId="10" w16cid:durableId="809443172">
    <w:abstractNumId w:val="5"/>
  </w:num>
  <w:num w:numId="11" w16cid:durableId="592280755">
    <w:abstractNumId w:val="4"/>
  </w:num>
  <w:num w:numId="12" w16cid:durableId="756100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D8D"/>
    <w:rsid w:val="000C727F"/>
    <w:rsid w:val="00102EB8"/>
    <w:rsid w:val="00116ADE"/>
    <w:rsid w:val="001204D0"/>
    <w:rsid w:val="00145797"/>
    <w:rsid w:val="001744BC"/>
    <w:rsid w:val="001959A9"/>
    <w:rsid w:val="001A26E3"/>
    <w:rsid w:val="001F52C9"/>
    <w:rsid w:val="00206777"/>
    <w:rsid w:val="002357FA"/>
    <w:rsid w:val="002E087F"/>
    <w:rsid w:val="00335F24"/>
    <w:rsid w:val="0036184F"/>
    <w:rsid w:val="00373726"/>
    <w:rsid w:val="00384B84"/>
    <w:rsid w:val="003A0E4E"/>
    <w:rsid w:val="003C3873"/>
    <w:rsid w:val="003C428C"/>
    <w:rsid w:val="003D5B29"/>
    <w:rsid w:val="003F7532"/>
    <w:rsid w:val="0040413B"/>
    <w:rsid w:val="00434255"/>
    <w:rsid w:val="004407A8"/>
    <w:rsid w:val="00460801"/>
    <w:rsid w:val="00465196"/>
    <w:rsid w:val="004B14A7"/>
    <w:rsid w:val="004B7A0E"/>
    <w:rsid w:val="00583E39"/>
    <w:rsid w:val="005965CE"/>
    <w:rsid w:val="005B6DD2"/>
    <w:rsid w:val="00600150"/>
    <w:rsid w:val="0060400D"/>
    <w:rsid w:val="006231C2"/>
    <w:rsid w:val="0067565A"/>
    <w:rsid w:val="0068647F"/>
    <w:rsid w:val="006A2F59"/>
    <w:rsid w:val="006D779C"/>
    <w:rsid w:val="00704C48"/>
    <w:rsid w:val="0075161C"/>
    <w:rsid w:val="00790B4F"/>
    <w:rsid w:val="00795001"/>
    <w:rsid w:val="007C01D2"/>
    <w:rsid w:val="008020C6"/>
    <w:rsid w:val="0087358A"/>
    <w:rsid w:val="00873E57"/>
    <w:rsid w:val="008976F6"/>
    <w:rsid w:val="008A05C6"/>
    <w:rsid w:val="008A5A8D"/>
    <w:rsid w:val="008B0A92"/>
    <w:rsid w:val="008D398B"/>
    <w:rsid w:val="009211BB"/>
    <w:rsid w:val="00923410"/>
    <w:rsid w:val="00942EE4"/>
    <w:rsid w:val="00943D8D"/>
    <w:rsid w:val="00947CC1"/>
    <w:rsid w:val="00957FA0"/>
    <w:rsid w:val="009714EA"/>
    <w:rsid w:val="00976B88"/>
    <w:rsid w:val="009A467F"/>
    <w:rsid w:val="009B4055"/>
    <w:rsid w:val="009C125B"/>
    <w:rsid w:val="009C2B44"/>
    <w:rsid w:val="009D1C35"/>
    <w:rsid w:val="00A27804"/>
    <w:rsid w:val="00A31E63"/>
    <w:rsid w:val="00A3791B"/>
    <w:rsid w:val="00A37F0D"/>
    <w:rsid w:val="00A65921"/>
    <w:rsid w:val="00A76AC4"/>
    <w:rsid w:val="00A92574"/>
    <w:rsid w:val="00AB24E0"/>
    <w:rsid w:val="00AD3DB2"/>
    <w:rsid w:val="00B159EE"/>
    <w:rsid w:val="00B870E0"/>
    <w:rsid w:val="00B87837"/>
    <w:rsid w:val="00BB61A9"/>
    <w:rsid w:val="00BB7383"/>
    <w:rsid w:val="00BE2AAE"/>
    <w:rsid w:val="00BE35AD"/>
    <w:rsid w:val="00BE5BBC"/>
    <w:rsid w:val="00C11CF4"/>
    <w:rsid w:val="00C25B26"/>
    <w:rsid w:val="00C358F6"/>
    <w:rsid w:val="00C45373"/>
    <w:rsid w:val="00C97075"/>
    <w:rsid w:val="00CB3998"/>
    <w:rsid w:val="00CC002C"/>
    <w:rsid w:val="00CC328B"/>
    <w:rsid w:val="00D60DCD"/>
    <w:rsid w:val="00D7231F"/>
    <w:rsid w:val="00D767A8"/>
    <w:rsid w:val="00DA50D6"/>
    <w:rsid w:val="00DF1B81"/>
    <w:rsid w:val="00E039F1"/>
    <w:rsid w:val="00E273A6"/>
    <w:rsid w:val="00E53D53"/>
    <w:rsid w:val="00EB7C16"/>
    <w:rsid w:val="00EC473D"/>
    <w:rsid w:val="00EC5333"/>
    <w:rsid w:val="00ED79B0"/>
    <w:rsid w:val="00F00305"/>
    <w:rsid w:val="00F1074B"/>
    <w:rsid w:val="00F528EF"/>
    <w:rsid w:val="00F539E4"/>
    <w:rsid w:val="00F76AEA"/>
    <w:rsid w:val="00F967D5"/>
    <w:rsid w:val="00FC4C3C"/>
    <w:rsid w:val="00FD7A3B"/>
    <w:rsid w:val="00FF7C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76028D"/>
  <w15:chartTrackingRefBased/>
  <w15:docId w15:val="{4358E704-B2D2-E549-8CBD-23413597E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943D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podarou">
    <w:name w:val="footnote text"/>
    <w:basedOn w:val="Normln"/>
    <w:link w:val="TextpoznpodarouChar"/>
    <w:uiPriority w:val="99"/>
    <w:semiHidden/>
    <w:unhideWhenUsed/>
    <w:rsid w:val="00943D8D"/>
    <w:rPr>
      <w:sz w:val="20"/>
      <w:szCs w:val="20"/>
    </w:rPr>
  </w:style>
  <w:style w:type="character" w:customStyle="1" w:styleId="TextpoznpodarouChar">
    <w:name w:val="Text pozn. pod čarou Char"/>
    <w:link w:val="Textpoznpodarou"/>
    <w:uiPriority w:val="99"/>
    <w:semiHidden/>
    <w:rsid w:val="00943D8D"/>
    <w:rPr>
      <w:sz w:val="20"/>
      <w:szCs w:val="20"/>
    </w:rPr>
  </w:style>
  <w:style w:type="character" w:styleId="Znakapoznpodarou">
    <w:name w:val="footnote reference"/>
    <w:uiPriority w:val="99"/>
    <w:semiHidden/>
    <w:unhideWhenUsed/>
    <w:rsid w:val="00943D8D"/>
    <w:rPr>
      <w:vertAlign w:val="superscript"/>
    </w:rPr>
  </w:style>
  <w:style w:type="paragraph" w:styleId="Odstavecseseznamem">
    <w:name w:val="List Paragraph"/>
    <w:basedOn w:val="Normln"/>
    <w:uiPriority w:val="34"/>
    <w:qFormat/>
    <w:rsid w:val="008A05C6"/>
    <w:pPr>
      <w:ind w:left="720"/>
      <w:contextualSpacing/>
    </w:pPr>
  </w:style>
  <w:style w:type="paragraph" w:customStyle="1" w:styleId="Default">
    <w:name w:val="Default"/>
    <w:rsid w:val="0060400D"/>
    <w:pPr>
      <w:autoSpaceDE w:val="0"/>
      <w:autoSpaceDN w:val="0"/>
      <w:adjustRightInd w:val="0"/>
    </w:pPr>
    <w:rPr>
      <w:rFonts w:ascii="Times New Roman" w:hAnsi="Times New Roman"/>
      <w:color w:val="000000"/>
      <w:sz w:val="24"/>
      <w:szCs w:val="24"/>
      <w:lang w:eastAsia="en-US"/>
    </w:rPr>
  </w:style>
  <w:style w:type="paragraph" w:styleId="Textkomente">
    <w:name w:val="annotation text"/>
    <w:basedOn w:val="Normln"/>
    <w:link w:val="TextkomenteChar"/>
    <w:uiPriority w:val="99"/>
    <w:unhideWhenUsed/>
    <w:rsid w:val="00CC002C"/>
    <w:rPr>
      <w:sz w:val="20"/>
      <w:szCs w:val="20"/>
    </w:rPr>
  </w:style>
  <w:style w:type="character" w:customStyle="1" w:styleId="TextkomenteChar">
    <w:name w:val="Text komentáře Char"/>
    <w:link w:val="Textkomente"/>
    <w:uiPriority w:val="99"/>
    <w:rsid w:val="00CC002C"/>
    <w:rPr>
      <w:sz w:val="20"/>
      <w:szCs w:val="20"/>
    </w:rPr>
  </w:style>
  <w:style w:type="paragraph" w:styleId="Normlnweb">
    <w:name w:val="Normal (Web)"/>
    <w:basedOn w:val="Normln"/>
    <w:uiPriority w:val="99"/>
    <w:semiHidden/>
    <w:unhideWhenUsed/>
    <w:rsid w:val="00976B88"/>
    <w:rPr>
      <w:rFonts w:ascii="Times New Roman" w:hAnsi="Times New Roman"/>
    </w:rPr>
  </w:style>
  <w:style w:type="paragraph" w:styleId="Zhlav">
    <w:name w:val="header"/>
    <w:basedOn w:val="Normln"/>
    <w:link w:val="ZhlavChar"/>
    <w:uiPriority w:val="99"/>
    <w:unhideWhenUsed/>
    <w:rsid w:val="002357FA"/>
    <w:pPr>
      <w:tabs>
        <w:tab w:val="center" w:pos="4536"/>
        <w:tab w:val="right" w:pos="9072"/>
      </w:tabs>
    </w:pPr>
  </w:style>
  <w:style w:type="character" w:customStyle="1" w:styleId="ZhlavChar">
    <w:name w:val="Záhlaví Char"/>
    <w:link w:val="Zhlav"/>
    <w:uiPriority w:val="99"/>
    <w:rsid w:val="002357FA"/>
    <w:rPr>
      <w:sz w:val="24"/>
      <w:szCs w:val="24"/>
      <w:lang w:eastAsia="en-US"/>
    </w:rPr>
  </w:style>
  <w:style w:type="paragraph" w:styleId="Zpat">
    <w:name w:val="footer"/>
    <w:basedOn w:val="Normln"/>
    <w:link w:val="ZpatChar"/>
    <w:uiPriority w:val="99"/>
    <w:unhideWhenUsed/>
    <w:rsid w:val="002357FA"/>
    <w:pPr>
      <w:tabs>
        <w:tab w:val="center" w:pos="4536"/>
        <w:tab w:val="right" w:pos="9072"/>
      </w:tabs>
    </w:pPr>
  </w:style>
  <w:style w:type="character" w:customStyle="1" w:styleId="ZpatChar">
    <w:name w:val="Zápatí Char"/>
    <w:link w:val="Zpat"/>
    <w:uiPriority w:val="99"/>
    <w:rsid w:val="002357FA"/>
    <w:rPr>
      <w:sz w:val="24"/>
      <w:szCs w:val="24"/>
      <w:lang w:eastAsia="en-US"/>
    </w:rPr>
  </w:style>
  <w:style w:type="character" w:styleId="slostrnky">
    <w:name w:val="page number"/>
    <w:basedOn w:val="Standardnpsmoodstavce"/>
    <w:uiPriority w:val="99"/>
    <w:semiHidden/>
    <w:unhideWhenUsed/>
    <w:rsid w:val="00EB7C16"/>
  </w:style>
  <w:style w:type="paragraph" w:styleId="Revize">
    <w:name w:val="Revision"/>
    <w:hidden/>
    <w:uiPriority w:val="99"/>
    <w:semiHidden/>
    <w:rsid w:val="00F967D5"/>
    <w:rPr>
      <w:sz w:val="24"/>
      <w:szCs w:val="24"/>
      <w:lang w:eastAsia="en-US"/>
    </w:rPr>
  </w:style>
  <w:style w:type="paragraph" w:styleId="Textbubliny">
    <w:name w:val="Balloon Text"/>
    <w:basedOn w:val="Normln"/>
    <w:link w:val="TextbublinyChar"/>
    <w:uiPriority w:val="99"/>
    <w:semiHidden/>
    <w:unhideWhenUsed/>
    <w:rsid w:val="0067565A"/>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7565A"/>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064449">
      <w:bodyDiv w:val="1"/>
      <w:marLeft w:val="0"/>
      <w:marRight w:val="0"/>
      <w:marTop w:val="0"/>
      <w:marBottom w:val="0"/>
      <w:divBdr>
        <w:top w:val="none" w:sz="0" w:space="0" w:color="auto"/>
        <w:left w:val="none" w:sz="0" w:space="0" w:color="auto"/>
        <w:bottom w:val="none" w:sz="0" w:space="0" w:color="auto"/>
        <w:right w:val="none" w:sz="0" w:space="0" w:color="auto"/>
      </w:divBdr>
      <w:divsChild>
        <w:div w:id="779108035">
          <w:marLeft w:val="0"/>
          <w:marRight w:val="0"/>
          <w:marTop w:val="0"/>
          <w:marBottom w:val="0"/>
          <w:divBdr>
            <w:top w:val="none" w:sz="0" w:space="0" w:color="auto"/>
            <w:left w:val="none" w:sz="0" w:space="0" w:color="auto"/>
            <w:bottom w:val="none" w:sz="0" w:space="0" w:color="auto"/>
            <w:right w:val="none" w:sz="0" w:space="0" w:color="auto"/>
          </w:divBdr>
          <w:divsChild>
            <w:div w:id="1677072924">
              <w:marLeft w:val="0"/>
              <w:marRight w:val="0"/>
              <w:marTop w:val="0"/>
              <w:marBottom w:val="0"/>
              <w:divBdr>
                <w:top w:val="none" w:sz="0" w:space="0" w:color="auto"/>
                <w:left w:val="none" w:sz="0" w:space="0" w:color="auto"/>
                <w:bottom w:val="none" w:sz="0" w:space="0" w:color="auto"/>
                <w:right w:val="none" w:sz="0" w:space="0" w:color="auto"/>
              </w:divBdr>
              <w:divsChild>
                <w:div w:id="124198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594211">
      <w:bodyDiv w:val="1"/>
      <w:marLeft w:val="0"/>
      <w:marRight w:val="0"/>
      <w:marTop w:val="0"/>
      <w:marBottom w:val="0"/>
      <w:divBdr>
        <w:top w:val="none" w:sz="0" w:space="0" w:color="auto"/>
        <w:left w:val="none" w:sz="0" w:space="0" w:color="auto"/>
        <w:bottom w:val="none" w:sz="0" w:space="0" w:color="auto"/>
        <w:right w:val="none" w:sz="0" w:space="0" w:color="auto"/>
      </w:divBdr>
      <w:divsChild>
        <w:div w:id="2115784939">
          <w:marLeft w:val="0"/>
          <w:marRight w:val="0"/>
          <w:marTop w:val="0"/>
          <w:marBottom w:val="0"/>
          <w:divBdr>
            <w:top w:val="none" w:sz="0" w:space="0" w:color="auto"/>
            <w:left w:val="none" w:sz="0" w:space="0" w:color="auto"/>
            <w:bottom w:val="none" w:sz="0" w:space="0" w:color="auto"/>
            <w:right w:val="none" w:sz="0" w:space="0" w:color="auto"/>
          </w:divBdr>
          <w:divsChild>
            <w:div w:id="1534273178">
              <w:marLeft w:val="0"/>
              <w:marRight w:val="0"/>
              <w:marTop w:val="0"/>
              <w:marBottom w:val="0"/>
              <w:divBdr>
                <w:top w:val="none" w:sz="0" w:space="0" w:color="auto"/>
                <w:left w:val="none" w:sz="0" w:space="0" w:color="auto"/>
                <w:bottom w:val="none" w:sz="0" w:space="0" w:color="auto"/>
                <w:right w:val="none" w:sz="0" w:space="0" w:color="auto"/>
              </w:divBdr>
              <w:divsChild>
                <w:div w:id="141311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0D0F01CB19E6B34D82407C513839D576" ma:contentTypeVersion="0" ma:contentTypeDescription="Vytvoří nový dokument" ma:contentTypeScope="" ma:versionID="325550834ad7693e063122e26340470c">
  <xsd:schema xmlns:xsd="http://www.w3.org/2001/XMLSchema" xmlns:xs="http://www.w3.org/2001/XMLSchema" xmlns:p="http://schemas.microsoft.com/office/2006/metadata/properties" targetNamespace="http://schemas.microsoft.com/office/2006/metadata/properties" ma:root="true" ma:fieldsID="2ecb93c72f33e94aa0d8973920a8bbe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3020C-9EC0-40E9-BE8A-0DD7DA613C6F}">
  <ds:schemaRefs>
    <ds:schemaRef ds:uri="http://schemas.microsoft.com/sharepoint/v3/contenttype/forms"/>
  </ds:schemaRefs>
</ds:datastoreItem>
</file>

<file path=customXml/itemProps2.xml><?xml version="1.0" encoding="utf-8"?>
<ds:datastoreItem xmlns:ds="http://schemas.openxmlformats.org/officeDocument/2006/customXml" ds:itemID="{9C14ACE0-8854-42B9-9DBA-6352711AA3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AA4BC8A-1CE9-497F-8B03-54BB24F5BD2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96D0DCE-DDC1-4EA1-A0D4-1CACC46A8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704</Words>
  <Characters>4154</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Tomanová</dc:creator>
  <cp:keywords/>
  <dc:description/>
  <cp:lastModifiedBy>Hájek Petr, Ing.</cp:lastModifiedBy>
  <cp:revision>4</cp:revision>
  <cp:lastPrinted>2022-05-31T09:45:00Z</cp:lastPrinted>
  <dcterms:created xsi:type="dcterms:W3CDTF">2025-10-30T13:53:00Z</dcterms:created>
  <dcterms:modified xsi:type="dcterms:W3CDTF">2025-10-30T14:17:00Z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0x0101000D0F01CB19E6B34D82407C513839D576</vt:lpwstr>
  </property>
</Properties>
</file>