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2064" w:rsidRDefault="00A82064" w:rsidP="00A82064">
      <w:pPr>
        <w:jc w:val="right"/>
        <w:rPr>
          <w:rFonts w:ascii="Arial" w:hAnsi="Arial" w:cs="Arial"/>
        </w:rPr>
      </w:pPr>
      <w:r>
        <w:rPr>
          <w:rFonts w:ascii="Arial" w:hAnsi="Arial" w:cs="Arial"/>
        </w:rPr>
        <w:t>Příloha č. 1 – Formulář návrhu výzkumné potřeby</w:t>
      </w:r>
    </w:p>
    <w:p w:rsidR="00A82064" w:rsidRDefault="00A82064" w:rsidP="00A82064">
      <w:pPr>
        <w:spacing w:after="0" w:line="240" w:lineRule="auto"/>
        <w:jc w:val="center"/>
        <w:rPr>
          <w:rFonts w:ascii="Arial" w:hAnsi="Arial" w:cs="Arial"/>
          <w:b/>
          <w:u w:val="single"/>
        </w:rPr>
      </w:pPr>
      <w:r>
        <w:rPr>
          <w:rFonts w:ascii="Arial" w:hAnsi="Arial" w:cs="Arial"/>
          <w:b/>
          <w:u w:val="single"/>
        </w:rPr>
        <w:t xml:space="preserve">SPECIFIKACE VEŘEJNÉ ZAKÁZKY VE VÝZKUMU, VÝVOJI </w:t>
      </w:r>
      <w:r>
        <w:rPr>
          <w:rFonts w:ascii="Arial" w:hAnsi="Arial" w:cs="Arial"/>
          <w:b/>
          <w:u w:val="single"/>
        </w:rPr>
        <w:br/>
        <w:t xml:space="preserve">A INOVACÍCH </w:t>
      </w:r>
    </w:p>
    <w:p w:rsidR="00A82064" w:rsidRDefault="00A82064" w:rsidP="00A82064">
      <w:pPr>
        <w:spacing w:after="0" w:line="240" w:lineRule="auto"/>
        <w:jc w:val="center"/>
        <w:rPr>
          <w:rFonts w:ascii="Arial" w:hAnsi="Arial" w:cs="Arial"/>
          <w:b/>
          <w:u w:val="single"/>
        </w:rPr>
      </w:pPr>
    </w:p>
    <w:tbl>
      <w:tblPr>
        <w:tblW w:w="9255" w:type="dxa"/>
        <w:tblInd w:w="-1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758"/>
        <w:gridCol w:w="899"/>
        <w:gridCol w:w="1079"/>
        <w:gridCol w:w="2519"/>
      </w:tblGrid>
      <w:tr w:rsidR="00A82064" w:rsidTr="00AE15B7">
        <w:trPr>
          <w:trHeight w:val="804"/>
        </w:trPr>
        <w:tc>
          <w:tcPr>
            <w:tcW w:w="9255" w:type="dxa"/>
            <w:gridSpan w:val="4"/>
            <w:tcBorders>
              <w:top w:val="single" w:sz="4" w:space="0" w:color="auto"/>
              <w:left w:val="single" w:sz="4" w:space="0" w:color="auto"/>
              <w:bottom w:val="nil"/>
              <w:right w:val="single" w:sz="4" w:space="0" w:color="auto"/>
            </w:tcBorders>
            <w:hideMark/>
          </w:tcPr>
          <w:p w:rsidR="00A82064" w:rsidRDefault="00A82064" w:rsidP="00A82064">
            <w:pPr>
              <w:spacing w:after="0" w:line="240" w:lineRule="auto"/>
              <w:rPr>
                <w:rFonts w:ascii="Arial" w:hAnsi="Arial" w:cs="Arial"/>
                <w:sz w:val="24"/>
                <w:szCs w:val="24"/>
              </w:rPr>
            </w:pPr>
            <w:r>
              <w:rPr>
                <w:rFonts w:ascii="Arial" w:hAnsi="Arial" w:cs="Arial"/>
                <w:b/>
              </w:rPr>
              <w:t>Předkladatel</w:t>
            </w:r>
          </w:p>
          <w:p w:rsidR="00A82064" w:rsidRDefault="00A82064" w:rsidP="00A82064">
            <w:pPr>
              <w:tabs>
                <w:tab w:val="left" w:pos="4320"/>
              </w:tabs>
              <w:spacing w:after="0" w:line="240" w:lineRule="auto"/>
              <w:rPr>
                <w:rFonts w:ascii="Arial" w:hAnsi="Arial" w:cs="Arial"/>
                <w:b/>
                <w:sz w:val="24"/>
                <w:szCs w:val="24"/>
              </w:rPr>
            </w:pPr>
            <w:r>
              <w:rPr>
                <w:rFonts w:ascii="Arial" w:hAnsi="Arial" w:cs="Arial"/>
              </w:rPr>
              <w:t>Název organizace</w:t>
            </w:r>
          </w:p>
        </w:tc>
      </w:tr>
      <w:tr w:rsidR="00A82064" w:rsidTr="00AE15B7">
        <w:trPr>
          <w:trHeight w:val="277"/>
        </w:trPr>
        <w:tc>
          <w:tcPr>
            <w:tcW w:w="4758" w:type="dxa"/>
            <w:tcBorders>
              <w:top w:val="nil"/>
              <w:left w:val="single" w:sz="4" w:space="0" w:color="auto"/>
              <w:bottom w:val="nil"/>
              <w:right w:val="nil"/>
            </w:tcBorders>
            <w:hideMark/>
          </w:tcPr>
          <w:p w:rsidR="00A82064" w:rsidRDefault="00A82064" w:rsidP="00A82064">
            <w:pPr>
              <w:spacing w:after="0" w:line="240" w:lineRule="auto"/>
              <w:rPr>
                <w:rFonts w:ascii="Arial" w:hAnsi="Arial" w:cs="Arial"/>
                <w:sz w:val="24"/>
                <w:szCs w:val="24"/>
              </w:rPr>
            </w:pPr>
            <w:r>
              <w:rPr>
                <w:rFonts w:ascii="Arial" w:hAnsi="Arial" w:cs="Arial"/>
              </w:rPr>
              <w:t>Adresa:</w:t>
            </w:r>
          </w:p>
        </w:tc>
        <w:tc>
          <w:tcPr>
            <w:tcW w:w="1978" w:type="dxa"/>
            <w:gridSpan w:val="2"/>
            <w:tcBorders>
              <w:top w:val="nil"/>
              <w:left w:val="nil"/>
              <w:bottom w:val="nil"/>
              <w:right w:val="nil"/>
            </w:tcBorders>
            <w:hideMark/>
          </w:tcPr>
          <w:p w:rsidR="00A82064" w:rsidRDefault="00A82064" w:rsidP="00A82064">
            <w:pPr>
              <w:spacing w:after="0" w:line="240" w:lineRule="auto"/>
              <w:rPr>
                <w:rFonts w:ascii="Arial" w:hAnsi="Arial" w:cs="Arial"/>
                <w:sz w:val="24"/>
                <w:szCs w:val="24"/>
              </w:rPr>
            </w:pPr>
            <w:r>
              <w:rPr>
                <w:rFonts w:ascii="Arial" w:hAnsi="Arial" w:cs="Arial"/>
              </w:rPr>
              <w:t>Kontaktní osoba:</w:t>
            </w:r>
          </w:p>
        </w:tc>
        <w:tc>
          <w:tcPr>
            <w:tcW w:w="2519" w:type="dxa"/>
            <w:tcBorders>
              <w:top w:val="nil"/>
              <w:left w:val="nil"/>
              <w:bottom w:val="nil"/>
              <w:right w:val="single" w:sz="4" w:space="0" w:color="auto"/>
            </w:tcBorders>
          </w:tcPr>
          <w:p w:rsidR="00A82064" w:rsidRDefault="00A82064" w:rsidP="00A82064">
            <w:pPr>
              <w:spacing w:after="0" w:line="240" w:lineRule="auto"/>
              <w:ind w:right="284"/>
              <w:jc w:val="right"/>
              <w:rPr>
                <w:rFonts w:ascii="Arial" w:hAnsi="Arial" w:cs="Arial"/>
                <w:sz w:val="24"/>
                <w:szCs w:val="24"/>
              </w:rPr>
            </w:pPr>
          </w:p>
        </w:tc>
      </w:tr>
      <w:tr w:rsidR="00A82064" w:rsidTr="00AE15B7">
        <w:trPr>
          <w:trHeight w:val="276"/>
        </w:trPr>
        <w:tc>
          <w:tcPr>
            <w:tcW w:w="4758" w:type="dxa"/>
            <w:tcBorders>
              <w:top w:val="nil"/>
              <w:left w:val="single" w:sz="4" w:space="0" w:color="auto"/>
              <w:bottom w:val="nil"/>
              <w:right w:val="nil"/>
            </w:tcBorders>
          </w:tcPr>
          <w:p w:rsidR="00A82064" w:rsidRDefault="00A82064" w:rsidP="00A82064">
            <w:pPr>
              <w:spacing w:after="0" w:line="240" w:lineRule="auto"/>
              <w:ind w:left="284"/>
              <w:rPr>
                <w:rFonts w:ascii="Arial" w:hAnsi="Arial" w:cs="Arial"/>
                <w:sz w:val="24"/>
                <w:szCs w:val="24"/>
              </w:rPr>
            </w:pPr>
          </w:p>
        </w:tc>
        <w:tc>
          <w:tcPr>
            <w:tcW w:w="1978" w:type="dxa"/>
            <w:gridSpan w:val="2"/>
            <w:tcBorders>
              <w:top w:val="nil"/>
              <w:left w:val="nil"/>
              <w:bottom w:val="nil"/>
              <w:right w:val="nil"/>
            </w:tcBorders>
            <w:hideMark/>
          </w:tcPr>
          <w:p w:rsidR="00A82064" w:rsidRDefault="00A82064" w:rsidP="00A82064">
            <w:pPr>
              <w:spacing w:after="0" w:line="240" w:lineRule="auto"/>
              <w:rPr>
                <w:rFonts w:ascii="Arial" w:hAnsi="Arial" w:cs="Arial"/>
                <w:sz w:val="24"/>
                <w:szCs w:val="24"/>
              </w:rPr>
            </w:pPr>
            <w:r>
              <w:rPr>
                <w:rFonts w:ascii="Arial" w:hAnsi="Arial" w:cs="Arial"/>
              </w:rPr>
              <w:t>Telefon:</w:t>
            </w:r>
          </w:p>
        </w:tc>
        <w:tc>
          <w:tcPr>
            <w:tcW w:w="2519" w:type="dxa"/>
            <w:tcBorders>
              <w:top w:val="nil"/>
              <w:left w:val="nil"/>
              <w:bottom w:val="nil"/>
              <w:right w:val="single" w:sz="4" w:space="0" w:color="auto"/>
            </w:tcBorders>
          </w:tcPr>
          <w:p w:rsidR="00A82064" w:rsidRDefault="00A82064" w:rsidP="00A82064">
            <w:pPr>
              <w:spacing w:after="0" w:line="240" w:lineRule="auto"/>
              <w:ind w:right="284"/>
              <w:jc w:val="right"/>
              <w:rPr>
                <w:rFonts w:ascii="Arial" w:hAnsi="Arial" w:cs="Arial"/>
                <w:sz w:val="24"/>
                <w:szCs w:val="24"/>
              </w:rPr>
            </w:pPr>
          </w:p>
        </w:tc>
      </w:tr>
      <w:tr w:rsidR="00A82064" w:rsidTr="00AE15B7">
        <w:trPr>
          <w:trHeight w:val="276"/>
        </w:trPr>
        <w:tc>
          <w:tcPr>
            <w:tcW w:w="4758" w:type="dxa"/>
            <w:tcBorders>
              <w:top w:val="nil"/>
              <w:left w:val="single" w:sz="4" w:space="0" w:color="auto"/>
              <w:bottom w:val="nil"/>
              <w:right w:val="nil"/>
            </w:tcBorders>
          </w:tcPr>
          <w:p w:rsidR="00A82064" w:rsidRDefault="00A82064" w:rsidP="00A82064">
            <w:pPr>
              <w:spacing w:after="0" w:line="240" w:lineRule="auto"/>
              <w:ind w:left="284"/>
              <w:rPr>
                <w:rFonts w:ascii="Arial" w:hAnsi="Arial" w:cs="Arial"/>
                <w:sz w:val="24"/>
                <w:szCs w:val="24"/>
              </w:rPr>
            </w:pPr>
          </w:p>
        </w:tc>
        <w:tc>
          <w:tcPr>
            <w:tcW w:w="899" w:type="dxa"/>
            <w:tcBorders>
              <w:top w:val="nil"/>
              <w:left w:val="nil"/>
              <w:bottom w:val="nil"/>
              <w:right w:val="nil"/>
            </w:tcBorders>
            <w:hideMark/>
          </w:tcPr>
          <w:p w:rsidR="00A82064" w:rsidRDefault="00A82064" w:rsidP="00A82064">
            <w:pPr>
              <w:spacing w:after="0" w:line="240" w:lineRule="auto"/>
              <w:rPr>
                <w:rFonts w:ascii="Arial" w:hAnsi="Arial" w:cs="Arial"/>
                <w:sz w:val="24"/>
                <w:szCs w:val="24"/>
              </w:rPr>
            </w:pPr>
            <w:r>
              <w:rPr>
                <w:rFonts w:ascii="Arial" w:hAnsi="Arial" w:cs="Arial"/>
              </w:rPr>
              <w:t>E-mail:</w:t>
            </w:r>
          </w:p>
        </w:tc>
        <w:tc>
          <w:tcPr>
            <w:tcW w:w="3598" w:type="dxa"/>
            <w:gridSpan w:val="2"/>
            <w:tcBorders>
              <w:top w:val="nil"/>
              <w:left w:val="nil"/>
              <w:bottom w:val="nil"/>
              <w:right w:val="single" w:sz="4" w:space="0" w:color="auto"/>
            </w:tcBorders>
          </w:tcPr>
          <w:p w:rsidR="00A82064" w:rsidRDefault="00A82064" w:rsidP="00A82064">
            <w:pPr>
              <w:spacing w:after="0" w:line="240" w:lineRule="auto"/>
              <w:ind w:right="284"/>
              <w:jc w:val="right"/>
              <w:rPr>
                <w:rFonts w:ascii="Arial" w:hAnsi="Arial" w:cs="Arial"/>
                <w:sz w:val="24"/>
                <w:szCs w:val="24"/>
              </w:rPr>
            </w:pPr>
          </w:p>
        </w:tc>
      </w:tr>
      <w:tr w:rsidR="00A82064" w:rsidTr="00AE15B7">
        <w:trPr>
          <w:trHeight w:val="276"/>
        </w:trPr>
        <w:tc>
          <w:tcPr>
            <w:tcW w:w="4758" w:type="dxa"/>
            <w:tcBorders>
              <w:top w:val="nil"/>
              <w:left w:val="single" w:sz="4" w:space="0" w:color="auto"/>
              <w:bottom w:val="single" w:sz="4" w:space="0" w:color="auto"/>
              <w:right w:val="nil"/>
            </w:tcBorders>
          </w:tcPr>
          <w:p w:rsidR="00A82064" w:rsidRDefault="00A82064" w:rsidP="00A82064">
            <w:pPr>
              <w:spacing w:after="0" w:line="240" w:lineRule="auto"/>
              <w:ind w:left="284"/>
              <w:rPr>
                <w:rFonts w:ascii="Arial" w:hAnsi="Arial" w:cs="Arial"/>
                <w:sz w:val="24"/>
                <w:szCs w:val="24"/>
              </w:rPr>
            </w:pPr>
          </w:p>
        </w:tc>
        <w:tc>
          <w:tcPr>
            <w:tcW w:w="4497" w:type="dxa"/>
            <w:gridSpan w:val="3"/>
            <w:tcBorders>
              <w:top w:val="nil"/>
              <w:left w:val="nil"/>
              <w:bottom w:val="single" w:sz="4" w:space="0" w:color="auto"/>
              <w:right w:val="single" w:sz="4" w:space="0" w:color="auto"/>
            </w:tcBorders>
          </w:tcPr>
          <w:p w:rsidR="00A82064" w:rsidRDefault="00A82064" w:rsidP="00A82064">
            <w:pPr>
              <w:spacing w:after="0" w:line="240" w:lineRule="auto"/>
              <w:ind w:right="284"/>
              <w:jc w:val="right"/>
              <w:rPr>
                <w:rFonts w:ascii="Arial" w:hAnsi="Arial" w:cs="Arial"/>
                <w:sz w:val="24"/>
                <w:szCs w:val="24"/>
              </w:rPr>
            </w:pPr>
          </w:p>
        </w:tc>
      </w:tr>
    </w:tbl>
    <w:p w:rsidR="00A82064" w:rsidRDefault="00A82064" w:rsidP="00A82064">
      <w:pPr>
        <w:spacing w:after="0" w:line="240" w:lineRule="auto"/>
        <w:jc w:val="both"/>
        <w:rPr>
          <w:rFonts w:ascii="Arial" w:hAnsi="Arial" w:cs="Arial"/>
          <w:u w:val="single"/>
        </w:rPr>
      </w:pPr>
    </w:p>
    <w:tbl>
      <w:tblPr>
        <w:tblW w:w="9255" w:type="dxa"/>
        <w:tblInd w:w="-1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627"/>
        <w:gridCol w:w="1030"/>
        <w:gridCol w:w="1079"/>
        <w:gridCol w:w="2519"/>
      </w:tblGrid>
      <w:tr w:rsidR="00A82064" w:rsidTr="00AE15B7">
        <w:trPr>
          <w:trHeight w:val="804"/>
        </w:trPr>
        <w:tc>
          <w:tcPr>
            <w:tcW w:w="9255" w:type="dxa"/>
            <w:gridSpan w:val="4"/>
            <w:tcBorders>
              <w:top w:val="single" w:sz="4" w:space="0" w:color="auto"/>
              <w:left w:val="single" w:sz="4" w:space="0" w:color="auto"/>
              <w:bottom w:val="nil"/>
              <w:right w:val="single" w:sz="4" w:space="0" w:color="auto"/>
            </w:tcBorders>
            <w:hideMark/>
          </w:tcPr>
          <w:p w:rsidR="00A82064" w:rsidRDefault="00A82064" w:rsidP="00A82064">
            <w:pPr>
              <w:spacing w:after="0" w:line="240" w:lineRule="auto"/>
              <w:rPr>
                <w:rFonts w:ascii="Arial" w:hAnsi="Arial" w:cs="Arial"/>
                <w:sz w:val="24"/>
                <w:szCs w:val="24"/>
              </w:rPr>
            </w:pPr>
            <w:r>
              <w:rPr>
                <w:rFonts w:ascii="Arial" w:hAnsi="Arial" w:cs="Arial"/>
                <w:b/>
              </w:rPr>
              <w:t>Odborný gestor projektu</w:t>
            </w:r>
          </w:p>
          <w:p w:rsidR="00A82064" w:rsidRDefault="00A82064" w:rsidP="00A82064">
            <w:pPr>
              <w:tabs>
                <w:tab w:val="left" w:pos="4320"/>
              </w:tabs>
              <w:spacing w:after="0" w:line="240" w:lineRule="auto"/>
              <w:rPr>
                <w:rFonts w:ascii="Arial" w:hAnsi="Arial" w:cs="Arial"/>
                <w:b/>
                <w:sz w:val="24"/>
                <w:szCs w:val="24"/>
              </w:rPr>
            </w:pPr>
            <w:r>
              <w:rPr>
                <w:rFonts w:ascii="Arial" w:hAnsi="Arial" w:cs="Arial"/>
              </w:rPr>
              <w:t>Název útvaru</w:t>
            </w:r>
          </w:p>
        </w:tc>
      </w:tr>
      <w:tr w:rsidR="00A82064" w:rsidTr="00AE15B7">
        <w:trPr>
          <w:trHeight w:val="277"/>
        </w:trPr>
        <w:tc>
          <w:tcPr>
            <w:tcW w:w="4627" w:type="dxa"/>
            <w:tcBorders>
              <w:top w:val="nil"/>
              <w:left w:val="single" w:sz="4" w:space="0" w:color="auto"/>
              <w:bottom w:val="nil"/>
              <w:right w:val="nil"/>
            </w:tcBorders>
            <w:hideMark/>
          </w:tcPr>
          <w:p w:rsidR="00A82064" w:rsidRDefault="00A82064" w:rsidP="00A82064">
            <w:pPr>
              <w:spacing w:after="0" w:line="240" w:lineRule="auto"/>
              <w:rPr>
                <w:rFonts w:ascii="Arial" w:hAnsi="Arial" w:cs="Arial"/>
                <w:sz w:val="24"/>
                <w:szCs w:val="24"/>
              </w:rPr>
            </w:pPr>
            <w:r>
              <w:rPr>
                <w:rFonts w:ascii="Arial" w:hAnsi="Arial" w:cs="Arial"/>
              </w:rPr>
              <w:t>Adresa:</w:t>
            </w:r>
          </w:p>
        </w:tc>
        <w:tc>
          <w:tcPr>
            <w:tcW w:w="2109" w:type="dxa"/>
            <w:gridSpan w:val="2"/>
            <w:tcBorders>
              <w:top w:val="nil"/>
              <w:left w:val="nil"/>
              <w:bottom w:val="nil"/>
              <w:right w:val="nil"/>
            </w:tcBorders>
            <w:hideMark/>
          </w:tcPr>
          <w:p w:rsidR="00A82064" w:rsidRDefault="00A82064" w:rsidP="00A82064">
            <w:pPr>
              <w:spacing w:after="0" w:line="240" w:lineRule="auto"/>
              <w:rPr>
                <w:rFonts w:ascii="Arial" w:hAnsi="Arial" w:cs="Arial"/>
                <w:sz w:val="24"/>
                <w:szCs w:val="24"/>
              </w:rPr>
            </w:pPr>
            <w:r>
              <w:rPr>
                <w:rFonts w:ascii="Arial" w:hAnsi="Arial" w:cs="Arial"/>
              </w:rPr>
              <w:t>Kontaktní osoba:</w:t>
            </w:r>
          </w:p>
        </w:tc>
        <w:tc>
          <w:tcPr>
            <w:tcW w:w="2519" w:type="dxa"/>
            <w:tcBorders>
              <w:top w:val="nil"/>
              <w:left w:val="nil"/>
              <w:bottom w:val="nil"/>
              <w:right w:val="single" w:sz="4" w:space="0" w:color="auto"/>
            </w:tcBorders>
          </w:tcPr>
          <w:p w:rsidR="00A82064" w:rsidRDefault="00A82064" w:rsidP="00A82064">
            <w:pPr>
              <w:spacing w:after="0" w:line="240" w:lineRule="auto"/>
              <w:ind w:right="284"/>
              <w:jc w:val="right"/>
              <w:rPr>
                <w:rFonts w:ascii="Arial" w:hAnsi="Arial" w:cs="Arial"/>
                <w:sz w:val="24"/>
                <w:szCs w:val="24"/>
              </w:rPr>
            </w:pPr>
          </w:p>
        </w:tc>
      </w:tr>
      <w:tr w:rsidR="00A82064" w:rsidTr="00AE15B7">
        <w:trPr>
          <w:trHeight w:val="276"/>
        </w:trPr>
        <w:tc>
          <w:tcPr>
            <w:tcW w:w="4627" w:type="dxa"/>
            <w:tcBorders>
              <w:top w:val="nil"/>
              <w:left w:val="single" w:sz="4" w:space="0" w:color="auto"/>
              <w:bottom w:val="nil"/>
              <w:right w:val="nil"/>
            </w:tcBorders>
          </w:tcPr>
          <w:p w:rsidR="00A82064" w:rsidRDefault="00A82064" w:rsidP="00A82064">
            <w:pPr>
              <w:spacing w:after="0" w:line="240" w:lineRule="auto"/>
              <w:ind w:left="284"/>
              <w:rPr>
                <w:rFonts w:ascii="Arial" w:hAnsi="Arial" w:cs="Arial"/>
                <w:sz w:val="24"/>
                <w:szCs w:val="24"/>
              </w:rPr>
            </w:pPr>
          </w:p>
        </w:tc>
        <w:tc>
          <w:tcPr>
            <w:tcW w:w="2109" w:type="dxa"/>
            <w:gridSpan w:val="2"/>
            <w:tcBorders>
              <w:top w:val="nil"/>
              <w:left w:val="nil"/>
              <w:bottom w:val="nil"/>
              <w:right w:val="nil"/>
            </w:tcBorders>
            <w:hideMark/>
          </w:tcPr>
          <w:p w:rsidR="00A82064" w:rsidRDefault="00A82064" w:rsidP="00A82064">
            <w:pPr>
              <w:spacing w:after="0" w:line="240" w:lineRule="auto"/>
              <w:rPr>
                <w:rFonts w:ascii="Arial" w:hAnsi="Arial" w:cs="Arial"/>
                <w:sz w:val="24"/>
                <w:szCs w:val="24"/>
              </w:rPr>
            </w:pPr>
            <w:r>
              <w:rPr>
                <w:rFonts w:ascii="Arial" w:hAnsi="Arial" w:cs="Arial"/>
              </w:rPr>
              <w:t>Telefon:</w:t>
            </w:r>
          </w:p>
        </w:tc>
        <w:tc>
          <w:tcPr>
            <w:tcW w:w="2519" w:type="dxa"/>
            <w:tcBorders>
              <w:top w:val="nil"/>
              <w:left w:val="nil"/>
              <w:bottom w:val="nil"/>
              <w:right w:val="single" w:sz="4" w:space="0" w:color="auto"/>
            </w:tcBorders>
          </w:tcPr>
          <w:p w:rsidR="00A82064" w:rsidRDefault="00A82064" w:rsidP="00A82064">
            <w:pPr>
              <w:spacing w:after="0" w:line="240" w:lineRule="auto"/>
              <w:ind w:right="284"/>
              <w:jc w:val="right"/>
              <w:rPr>
                <w:rFonts w:ascii="Arial" w:hAnsi="Arial" w:cs="Arial"/>
                <w:sz w:val="24"/>
                <w:szCs w:val="24"/>
              </w:rPr>
            </w:pPr>
          </w:p>
        </w:tc>
      </w:tr>
      <w:tr w:rsidR="00A82064" w:rsidTr="00AE15B7">
        <w:trPr>
          <w:trHeight w:val="276"/>
        </w:trPr>
        <w:tc>
          <w:tcPr>
            <w:tcW w:w="4627" w:type="dxa"/>
            <w:tcBorders>
              <w:top w:val="nil"/>
              <w:left w:val="single" w:sz="4" w:space="0" w:color="auto"/>
              <w:bottom w:val="nil"/>
              <w:right w:val="nil"/>
            </w:tcBorders>
          </w:tcPr>
          <w:p w:rsidR="00A82064" w:rsidRDefault="00A82064" w:rsidP="00A82064">
            <w:pPr>
              <w:spacing w:after="0" w:line="240" w:lineRule="auto"/>
              <w:ind w:left="284"/>
              <w:rPr>
                <w:rFonts w:ascii="Arial" w:hAnsi="Arial" w:cs="Arial"/>
                <w:sz w:val="24"/>
                <w:szCs w:val="24"/>
              </w:rPr>
            </w:pPr>
          </w:p>
        </w:tc>
        <w:tc>
          <w:tcPr>
            <w:tcW w:w="1030" w:type="dxa"/>
            <w:tcBorders>
              <w:top w:val="nil"/>
              <w:left w:val="nil"/>
              <w:bottom w:val="nil"/>
              <w:right w:val="nil"/>
            </w:tcBorders>
            <w:hideMark/>
          </w:tcPr>
          <w:p w:rsidR="00A82064" w:rsidRDefault="00A82064" w:rsidP="00A82064">
            <w:pPr>
              <w:spacing w:after="0" w:line="240" w:lineRule="auto"/>
              <w:rPr>
                <w:rFonts w:ascii="Arial" w:hAnsi="Arial" w:cs="Arial"/>
                <w:sz w:val="24"/>
                <w:szCs w:val="24"/>
              </w:rPr>
            </w:pPr>
            <w:r>
              <w:rPr>
                <w:rFonts w:ascii="Arial" w:hAnsi="Arial" w:cs="Arial"/>
              </w:rPr>
              <w:t>E-mail:</w:t>
            </w:r>
          </w:p>
        </w:tc>
        <w:tc>
          <w:tcPr>
            <w:tcW w:w="3598" w:type="dxa"/>
            <w:gridSpan w:val="2"/>
            <w:tcBorders>
              <w:top w:val="nil"/>
              <w:left w:val="nil"/>
              <w:bottom w:val="nil"/>
              <w:right w:val="single" w:sz="4" w:space="0" w:color="auto"/>
            </w:tcBorders>
          </w:tcPr>
          <w:p w:rsidR="00A82064" w:rsidRDefault="00A82064" w:rsidP="00A82064">
            <w:pPr>
              <w:spacing w:after="0" w:line="240" w:lineRule="auto"/>
              <w:ind w:right="284"/>
              <w:jc w:val="right"/>
              <w:rPr>
                <w:rFonts w:ascii="Arial" w:hAnsi="Arial" w:cs="Arial"/>
                <w:sz w:val="24"/>
                <w:szCs w:val="24"/>
              </w:rPr>
            </w:pPr>
          </w:p>
        </w:tc>
      </w:tr>
      <w:tr w:rsidR="00A82064" w:rsidTr="00AE15B7">
        <w:trPr>
          <w:trHeight w:val="276"/>
        </w:trPr>
        <w:tc>
          <w:tcPr>
            <w:tcW w:w="4627" w:type="dxa"/>
            <w:tcBorders>
              <w:top w:val="nil"/>
              <w:left w:val="single" w:sz="4" w:space="0" w:color="auto"/>
              <w:bottom w:val="single" w:sz="4" w:space="0" w:color="auto"/>
              <w:right w:val="nil"/>
            </w:tcBorders>
          </w:tcPr>
          <w:p w:rsidR="00A82064" w:rsidRDefault="00A82064" w:rsidP="00A82064">
            <w:pPr>
              <w:spacing w:after="0" w:line="240" w:lineRule="auto"/>
              <w:ind w:left="284"/>
              <w:rPr>
                <w:rFonts w:ascii="Arial" w:hAnsi="Arial" w:cs="Arial"/>
                <w:sz w:val="24"/>
                <w:szCs w:val="24"/>
              </w:rPr>
            </w:pPr>
          </w:p>
        </w:tc>
        <w:tc>
          <w:tcPr>
            <w:tcW w:w="4628" w:type="dxa"/>
            <w:gridSpan w:val="3"/>
            <w:tcBorders>
              <w:top w:val="nil"/>
              <w:left w:val="nil"/>
              <w:bottom w:val="single" w:sz="4" w:space="0" w:color="auto"/>
              <w:right w:val="single" w:sz="4" w:space="0" w:color="auto"/>
            </w:tcBorders>
          </w:tcPr>
          <w:p w:rsidR="00A82064" w:rsidRDefault="00A82064" w:rsidP="00A82064">
            <w:pPr>
              <w:spacing w:after="0" w:line="240" w:lineRule="auto"/>
              <w:ind w:right="284"/>
              <w:jc w:val="right"/>
              <w:rPr>
                <w:rFonts w:ascii="Arial" w:hAnsi="Arial" w:cs="Arial"/>
                <w:sz w:val="24"/>
                <w:szCs w:val="24"/>
              </w:rPr>
            </w:pPr>
          </w:p>
        </w:tc>
      </w:tr>
    </w:tbl>
    <w:p w:rsidR="00A82064" w:rsidRDefault="00A82064" w:rsidP="00A82064">
      <w:pPr>
        <w:spacing w:after="0" w:line="240" w:lineRule="auto"/>
        <w:jc w:val="both"/>
        <w:rPr>
          <w:rFonts w:ascii="Arial" w:hAnsi="Arial" w:cs="Arial"/>
          <w:u w:val="single"/>
        </w:rPr>
      </w:pPr>
    </w:p>
    <w:p w:rsidR="00A82064" w:rsidRDefault="00A82064" w:rsidP="00A82064">
      <w:pPr>
        <w:spacing w:after="0" w:line="240" w:lineRule="auto"/>
        <w:jc w:val="both"/>
        <w:rPr>
          <w:rFonts w:ascii="Arial" w:hAnsi="Arial" w:cs="Arial"/>
        </w:rPr>
      </w:pPr>
    </w:p>
    <w:p w:rsidR="00A82064" w:rsidRDefault="00A82064" w:rsidP="00A82064">
      <w:pPr>
        <w:numPr>
          <w:ilvl w:val="0"/>
          <w:numId w:val="20"/>
        </w:numPr>
        <w:tabs>
          <w:tab w:val="num" w:pos="540"/>
        </w:tabs>
        <w:spacing w:after="0" w:line="240" w:lineRule="auto"/>
        <w:ind w:left="540" w:hanging="540"/>
        <w:jc w:val="both"/>
        <w:rPr>
          <w:rFonts w:ascii="Arial" w:hAnsi="Arial" w:cs="Arial"/>
          <w:b/>
        </w:rPr>
      </w:pPr>
      <w:r>
        <w:rPr>
          <w:rFonts w:ascii="Arial" w:hAnsi="Arial" w:cs="Arial"/>
          <w:b/>
        </w:rPr>
        <w:t>Název veřejné zakázky</w:t>
      </w:r>
    </w:p>
    <w:p w:rsidR="00A82064" w:rsidRDefault="00A82064" w:rsidP="00A82064">
      <w:pPr>
        <w:tabs>
          <w:tab w:val="num" w:pos="540"/>
        </w:tabs>
        <w:spacing w:after="0" w:line="240" w:lineRule="auto"/>
        <w:ind w:left="540"/>
        <w:jc w:val="both"/>
        <w:rPr>
          <w:rFonts w:ascii="Arial" w:hAnsi="Arial" w:cs="Arial"/>
          <w:i/>
        </w:rPr>
      </w:pPr>
      <w:r>
        <w:rPr>
          <w:rFonts w:ascii="Arial" w:hAnsi="Arial" w:cs="Arial"/>
          <w:i/>
        </w:rPr>
        <w:t>Stručný název, který má vystihovat předmět řešení projektu</w:t>
      </w:r>
    </w:p>
    <w:p w:rsidR="00A82064" w:rsidRDefault="00A82064" w:rsidP="00A82064">
      <w:pPr>
        <w:tabs>
          <w:tab w:val="num" w:pos="540"/>
        </w:tabs>
        <w:spacing w:after="0" w:line="240" w:lineRule="auto"/>
        <w:ind w:left="540"/>
        <w:jc w:val="both"/>
        <w:rPr>
          <w:rFonts w:ascii="Arial" w:hAnsi="Arial" w:cs="Arial"/>
        </w:rPr>
      </w:pPr>
    </w:p>
    <w:p w:rsidR="00A82064" w:rsidRDefault="00A82064" w:rsidP="00A82064">
      <w:pPr>
        <w:numPr>
          <w:ilvl w:val="0"/>
          <w:numId w:val="20"/>
        </w:numPr>
        <w:tabs>
          <w:tab w:val="num" w:pos="540"/>
        </w:tabs>
        <w:spacing w:after="0" w:line="240" w:lineRule="auto"/>
        <w:ind w:left="540" w:hanging="540"/>
        <w:jc w:val="both"/>
        <w:rPr>
          <w:rFonts w:ascii="Arial" w:hAnsi="Arial" w:cs="Arial"/>
          <w:b/>
        </w:rPr>
      </w:pPr>
      <w:r>
        <w:rPr>
          <w:rFonts w:ascii="Arial" w:hAnsi="Arial" w:cs="Arial"/>
          <w:b/>
        </w:rPr>
        <w:t xml:space="preserve">Předmět veřejné zakázky </w:t>
      </w:r>
    </w:p>
    <w:p w:rsidR="00A82064" w:rsidRDefault="00A82064" w:rsidP="00A82064">
      <w:pPr>
        <w:spacing w:after="0" w:line="240" w:lineRule="auto"/>
        <w:ind w:left="567"/>
        <w:jc w:val="both"/>
        <w:rPr>
          <w:rFonts w:ascii="Arial" w:hAnsi="Arial" w:cs="Arial"/>
          <w:i/>
        </w:rPr>
      </w:pPr>
      <w:r>
        <w:rPr>
          <w:rFonts w:ascii="Arial" w:hAnsi="Arial" w:cs="Arial"/>
          <w:i/>
        </w:rPr>
        <w:t>Stručný popis toho, co má být v rámci projektu řešeno (činnosti), jak může být řešeno (metody, postupy) a čeho (výsledky) má být dosaženo.</w:t>
      </w:r>
    </w:p>
    <w:p w:rsidR="00A82064" w:rsidRDefault="00A82064" w:rsidP="00983778">
      <w:pPr>
        <w:spacing w:after="0" w:line="240" w:lineRule="auto"/>
        <w:jc w:val="both"/>
        <w:rPr>
          <w:rFonts w:ascii="Arial" w:hAnsi="Arial" w:cs="Arial"/>
        </w:rPr>
      </w:pPr>
    </w:p>
    <w:p w:rsidR="00A82064" w:rsidRDefault="00A82064" w:rsidP="00A82064">
      <w:pPr>
        <w:numPr>
          <w:ilvl w:val="0"/>
          <w:numId w:val="20"/>
        </w:numPr>
        <w:tabs>
          <w:tab w:val="num" w:pos="540"/>
        </w:tabs>
        <w:spacing w:after="0" w:line="240" w:lineRule="auto"/>
        <w:ind w:left="540" w:hanging="540"/>
        <w:jc w:val="both"/>
        <w:rPr>
          <w:rFonts w:ascii="Arial" w:hAnsi="Arial" w:cs="Arial"/>
          <w:b/>
        </w:rPr>
      </w:pPr>
      <w:r>
        <w:rPr>
          <w:rFonts w:ascii="Arial" w:hAnsi="Arial" w:cs="Arial"/>
          <w:b/>
        </w:rPr>
        <w:t>Zařazení do dílčího cíle programu</w:t>
      </w:r>
    </w:p>
    <w:p w:rsidR="00A82064" w:rsidRDefault="00A82064" w:rsidP="00A82064">
      <w:pPr>
        <w:spacing w:after="0" w:line="240" w:lineRule="auto"/>
        <w:ind w:left="540"/>
        <w:jc w:val="both"/>
        <w:rPr>
          <w:rFonts w:ascii="Arial" w:hAnsi="Arial" w:cs="Arial"/>
          <w:i/>
        </w:rPr>
      </w:pPr>
      <w:r>
        <w:rPr>
          <w:rFonts w:ascii="Arial" w:hAnsi="Arial" w:cs="Arial"/>
          <w:i/>
        </w:rPr>
        <w:t>Předkladatel zařadí potřebu do jednoho z dílčích cílů programu podle definic uvedených v tabulce níže. Vhodnou volbu (právě jednu) označí křížkem</w:t>
      </w:r>
    </w:p>
    <w:p w:rsidR="00A82064" w:rsidRDefault="00A82064" w:rsidP="00A82064">
      <w:pPr>
        <w:spacing w:after="0" w:line="240" w:lineRule="auto"/>
        <w:ind w:left="540"/>
        <w:jc w:val="both"/>
        <w:rPr>
          <w:rFonts w:ascii="Arial" w:hAnsi="Arial" w:cs="Arial"/>
          <w:b/>
        </w:rPr>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
        <w:gridCol w:w="1629"/>
        <w:gridCol w:w="5824"/>
        <w:gridCol w:w="654"/>
      </w:tblGrid>
      <w:tr w:rsidR="00A82064" w:rsidTr="00A82064">
        <w:tc>
          <w:tcPr>
            <w:tcW w:w="419"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1</w:t>
            </w:r>
          </w:p>
        </w:tc>
        <w:tc>
          <w:tcPr>
            <w:tcW w:w="1629"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Ochrana obyvatelstva</w:t>
            </w:r>
          </w:p>
        </w:tc>
        <w:tc>
          <w:tcPr>
            <w:tcW w:w="6025" w:type="dxa"/>
            <w:tcBorders>
              <w:top w:val="single" w:sz="4" w:space="0" w:color="auto"/>
              <w:left w:val="single" w:sz="4" w:space="0" w:color="auto"/>
              <w:bottom w:val="single" w:sz="4" w:space="0" w:color="auto"/>
              <w:right w:val="single" w:sz="4" w:space="0" w:color="auto"/>
            </w:tcBorders>
            <w:hideMark/>
          </w:tcPr>
          <w:p w:rsidR="00A82064" w:rsidRDefault="00A82064" w:rsidP="00A82064">
            <w:pPr>
              <w:autoSpaceDE w:val="0"/>
              <w:autoSpaceDN w:val="0"/>
              <w:adjustRightInd w:val="0"/>
              <w:spacing w:after="0" w:line="240" w:lineRule="auto"/>
              <w:jc w:val="both"/>
              <w:rPr>
                <w:rFonts w:ascii="Helvetica" w:hAnsi="Helvetica" w:cs="Helvetica"/>
                <w:sz w:val="20"/>
                <w:szCs w:val="20"/>
              </w:rPr>
            </w:pPr>
            <w:r>
              <w:rPr>
                <w:rFonts w:ascii="Helvetica" w:hAnsi="Helvetica" w:cs="Helvetica"/>
                <w:sz w:val="20"/>
                <w:szCs w:val="20"/>
              </w:rPr>
              <w:t>Zabezpe</w:t>
            </w:r>
            <w:r>
              <w:rPr>
                <w:rFonts w:ascii="Arial-OneByteIdentityH" w:hAnsi="Arial-OneByteIdentityH" w:cs="Arial-OneByteIdentityH"/>
                <w:sz w:val="20"/>
                <w:szCs w:val="20"/>
              </w:rPr>
              <w:t>č</w:t>
            </w:r>
            <w:r>
              <w:rPr>
                <w:rFonts w:ascii="Helvetica" w:hAnsi="Helvetica" w:cs="Helvetica"/>
                <w:sz w:val="20"/>
                <w:szCs w:val="20"/>
              </w:rPr>
              <w:t>ení evropského standardu ochrany obyvatelstva. To vyžaduje rozvoj a zdokonalování technických, organiza</w:t>
            </w:r>
            <w:r>
              <w:rPr>
                <w:rFonts w:ascii="Arial-OneByteIdentityH" w:hAnsi="Arial-OneByteIdentityH" w:cs="Arial-OneByteIdentityH"/>
                <w:sz w:val="20"/>
                <w:szCs w:val="20"/>
              </w:rPr>
              <w:t>č</w:t>
            </w:r>
            <w:r>
              <w:rPr>
                <w:rFonts w:ascii="Helvetica" w:hAnsi="Helvetica" w:cs="Helvetica"/>
                <w:sz w:val="20"/>
                <w:szCs w:val="20"/>
              </w:rPr>
              <w:t xml:space="preserve">ních, </w:t>
            </w:r>
            <w:r>
              <w:rPr>
                <w:rFonts w:ascii="Arial-OneByteIdentityH" w:hAnsi="Arial-OneByteIdentityH" w:cs="Arial-OneByteIdentityH"/>
                <w:sz w:val="20"/>
                <w:szCs w:val="20"/>
              </w:rPr>
              <w:t>ř</w:t>
            </w:r>
            <w:r>
              <w:rPr>
                <w:rFonts w:ascii="Helvetica" w:hAnsi="Helvetica" w:cs="Helvetica"/>
                <w:sz w:val="20"/>
                <w:szCs w:val="20"/>
              </w:rPr>
              <w:t>ídících, plánovacích, kontrolních a metodických opat</w:t>
            </w:r>
            <w:r>
              <w:rPr>
                <w:rFonts w:ascii="Arial-OneByteIdentityH" w:hAnsi="Arial-OneByteIdentityH" w:cs="Arial-OneByteIdentityH"/>
                <w:sz w:val="20"/>
                <w:szCs w:val="20"/>
              </w:rPr>
              <w:t>ř</w:t>
            </w:r>
            <w:r>
              <w:rPr>
                <w:rFonts w:ascii="Helvetica" w:hAnsi="Helvetica" w:cs="Helvetica"/>
                <w:sz w:val="20"/>
                <w:szCs w:val="20"/>
              </w:rPr>
              <w:t>ení, která sm</w:t>
            </w:r>
            <w:r>
              <w:rPr>
                <w:rFonts w:ascii="Arial-OneByteIdentityH" w:hAnsi="Arial-OneByteIdentityH" w:cs="Arial-OneByteIdentityH"/>
                <w:sz w:val="20"/>
                <w:szCs w:val="20"/>
              </w:rPr>
              <w:t>ěř</w:t>
            </w:r>
            <w:r>
              <w:rPr>
                <w:rFonts w:ascii="Helvetica" w:hAnsi="Helvetica" w:cs="Helvetica"/>
                <w:sz w:val="20"/>
                <w:szCs w:val="20"/>
              </w:rPr>
              <w:t>ují k p</w:t>
            </w:r>
            <w:r>
              <w:rPr>
                <w:rFonts w:ascii="Arial-OneByteIdentityH" w:hAnsi="Arial-OneByteIdentityH" w:cs="Arial-OneByteIdentityH"/>
                <w:sz w:val="20"/>
                <w:szCs w:val="20"/>
              </w:rPr>
              <w:t>ř</w:t>
            </w:r>
            <w:r>
              <w:rPr>
                <w:rFonts w:ascii="Helvetica" w:hAnsi="Helvetica" w:cs="Helvetica"/>
                <w:sz w:val="20"/>
                <w:szCs w:val="20"/>
              </w:rPr>
              <w:t>íprav</w:t>
            </w:r>
            <w:r>
              <w:rPr>
                <w:rFonts w:ascii="Arial-OneByteIdentityH" w:hAnsi="Arial-OneByteIdentityH" w:cs="Arial-OneByteIdentityH"/>
                <w:sz w:val="20"/>
                <w:szCs w:val="20"/>
              </w:rPr>
              <w:t xml:space="preserve">ě </w:t>
            </w:r>
            <w:r>
              <w:rPr>
                <w:rFonts w:ascii="Helvetica" w:hAnsi="Helvetica" w:cs="Helvetica"/>
                <w:sz w:val="20"/>
                <w:szCs w:val="20"/>
              </w:rPr>
              <w:t>na všechny druhy mimo</w:t>
            </w:r>
            <w:r>
              <w:rPr>
                <w:rFonts w:ascii="Arial-OneByteIdentityH" w:hAnsi="Arial-OneByteIdentityH" w:cs="Arial-OneByteIdentityH"/>
                <w:sz w:val="20"/>
                <w:szCs w:val="20"/>
              </w:rPr>
              <w:t>ř</w:t>
            </w:r>
            <w:r>
              <w:rPr>
                <w:rFonts w:ascii="Helvetica" w:hAnsi="Helvetica" w:cs="Helvetica"/>
                <w:sz w:val="20"/>
                <w:szCs w:val="20"/>
              </w:rPr>
              <w:t xml:space="preserve">ádných událostí a krizových situací, minimalizaci potenciálu pro jejich vznik a v neposlední </w:t>
            </w:r>
            <w:r>
              <w:rPr>
                <w:rFonts w:ascii="Arial-OneByteIdentityH" w:hAnsi="Arial-OneByteIdentityH" w:cs="Arial-OneByteIdentityH"/>
                <w:sz w:val="20"/>
                <w:szCs w:val="20"/>
              </w:rPr>
              <w:t>ř</w:t>
            </w:r>
            <w:r>
              <w:rPr>
                <w:rFonts w:ascii="Helvetica" w:hAnsi="Helvetica" w:cs="Helvetica"/>
                <w:sz w:val="20"/>
                <w:szCs w:val="20"/>
              </w:rPr>
              <w:t>ad</w:t>
            </w:r>
            <w:r>
              <w:rPr>
                <w:rFonts w:ascii="Arial-OneByteIdentityH" w:hAnsi="Arial-OneByteIdentityH" w:cs="Arial-OneByteIdentityH"/>
                <w:sz w:val="20"/>
                <w:szCs w:val="20"/>
              </w:rPr>
              <w:t xml:space="preserve">ě </w:t>
            </w:r>
            <w:r>
              <w:rPr>
                <w:rFonts w:ascii="Helvetica" w:hAnsi="Helvetica" w:cs="Helvetica"/>
                <w:sz w:val="20"/>
                <w:szCs w:val="20"/>
              </w:rPr>
              <w:t xml:space="preserve">jejich </w:t>
            </w:r>
            <w:r>
              <w:rPr>
                <w:rFonts w:ascii="Arial-OneByteIdentityH" w:hAnsi="Arial-OneByteIdentityH" w:cs="Arial-OneByteIdentityH"/>
                <w:sz w:val="20"/>
                <w:szCs w:val="20"/>
              </w:rPr>
              <w:t>ř</w:t>
            </w:r>
            <w:r>
              <w:rPr>
                <w:rFonts w:ascii="Helvetica" w:hAnsi="Helvetica" w:cs="Helvetica"/>
                <w:sz w:val="20"/>
                <w:szCs w:val="20"/>
              </w:rPr>
              <w:t>ešení. Jedná se tedy o snižování dopad</w:t>
            </w:r>
            <w:r>
              <w:rPr>
                <w:rFonts w:ascii="Arial-OneByteIdentityH" w:hAnsi="Arial-OneByteIdentityH" w:cs="Arial-OneByteIdentityH"/>
                <w:sz w:val="20"/>
                <w:szCs w:val="20"/>
              </w:rPr>
              <w:t>ů</w:t>
            </w:r>
            <w:r>
              <w:rPr>
                <w:rFonts w:ascii="Helvetica" w:hAnsi="Helvetica" w:cs="Helvetica"/>
                <w:sz w:val="20"/>
                <w:szCs w:val="20"/>
              </w:rPr>
              <w:t xml:space="preserve"> mimo</w:t>
            </w:r>
            <w:r>
              <w:rPr>
                <w:rFonts w:ascii="Arial-OneByteIdentityH" w:hAnsi="Arial-OneByteIdentityH" w:cs="Arial-OneByteIdentityH"/>
                <w:sz w:val="20"/>
                <w:szCs w:val="20"/>
              </w:rPr>
              <w:t>ř</w:t>
            </w:r>
            <w:r>
              <w:rPr>
                <w:rFonts w:ascii="Helvetica" w:hAnsi="Helvetica" w:cs="Helvetica"/>
                <w:sz w:val="20"/>
                <w:szCs w:val="20"/>
              </w:rPr>
              <w:t xml:space="preserve">ádných události a krizových situací na stát, kraje </w:t>
            </w:r>
            <w:r>
              <w:rPr>
                <w:rFonts w:ascii="Arial-OneByteIdentityH" w:hAnsi="Arial-OneByteIdentityH" w:cs="Arial-OneByteIdentityH"/>
                <w:sz w:val="20"/>
                <w:szCs w:val="20"/>
              </w:rPr>
              <w:t>č</w:t>
            </w:r>
            <w:r>
              <w:rPr>
                <w:rFonts w:ascii="Helvetica" w:hAnsi="Helvetica" w:cs="Helvetica"/>
                <w:sz w:val="20"/>
                <w:szCs w:val="20"/>
              </w:rPr>
              <w:t>i obce a životy a zdraví obyvatel, jejich majetek a životní podmínky.</w:t>
            </w:r>
          </w:p>
        </w:tc>
        <w:tc>
          <w:tcPr>
            <w:tcW w:w="675"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A82064">
        <w:tc>
          <w:tcPr>
            <w:tcW w:w="419"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2</w:t>
            </w:r>
          </w:p>
        </w:tc>
        <w:tc>
          <w:tcPr>
            <w:tcW w:w="1629"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Ochrana před závažnou kriminalitou</w:t>
            </w:r>
          </w:p>
        </w:tc>
        <w:tc>
          <w:tcPr>
            <w:tcW w:w="6025" w:type="dxa"/>
            <w:tcBorders>
              <w:top w:val="single" w:sz="4" w:space="0" w:color="auto"/>
              <w:left w:val="single" w:sz="4" w:space="0" w:color="auto"/>
              <w:bottom w:val="single" w:sz="4" w:space="0" w:color="auto"/>
              <w:right w:val="single" w:sz="4" w:space="0" w:color="auto"/>
            </w:tcBorders>
            <w:hideMark/>
          </w:tcPr>
          <w:p w:rsidR="00A82064" w:rsidRDefault="00A82064" w:rsidP="00A82064">
            <w:pPr>
              <w:autoSpaceDE w:val="0"/>
              <w:autoSpaceDN w:val="0"/>
              <w:adjustRightInd w:val="0"/>
              <w:spacing w:after="0" w:line="240" w:lineRule="auto"/>
              <w:jc w:val="both"/>
              <w:rPr>
                <w:rFonts w:ascii="Helvetica" w:hAnsi="Helvetica" w:cs="Helvetica"/>
                <w:sz w:val="20"/>
                <w:szCs w:val="20"/>
              </w:rPr>
            </w:pPr>
            <w:r>
              <w:rPr>
                <w:rFonts w:ascii="Helvetica" w:hAnsi="Helvetica" w:cs="Helvetica"/>
                <w:sz w:val="20"/>
                <w:szCs w:val="20"/>
              </w:rPr>
              <w:t>Vybudovat v rámci bezpe</w:t>
            </w:r>
            <w:r>
              <w:rPr>
                <w:rFonts w:ascii="Arial-OneByteIdentityH" w:hAnsi="Arial-OneByteIdentityH" w:cs="Arial-OneByteIdentityH"/>
                <w:sz w:val="20"/>
                <w:szCs w:val="20"/>
              </w:rPr>
              <w:t>č</w:t>
            </w:r>
            <w:r>
              <w:rPr>
                <w:rFonts w:ascii="Helvetica" w:hAnsi="Helvetica" w:cs="Helvetica"/>
                <w:sz w:val="20"/>
                <w:szCs w:val="20"/>
              </w:rPr>
              <w:t>nostního systému takové nástroje, které usnadní, v maximální možné mí</w:t>
            </w:r>
            <w:r>
              <w:rPr>
                <w:rFonts w:ascii="Arial-OneByteIdentityH" w:hAnsi="Arial-OneByteIdentityH" w:cs="Arial-OneByteIdentityH"/>
                <w:sz w:val="20"/>
                <w:szCs w:val="20"/>
              </w:rPr>
              <w:t>ř</w:t>
            </w:r>
            <w:r>
              <w:rPr>
                <w:rFonts w:ascii="Helvetica" w:hAnsi="Helvetica" w:cs="Helvetica"/>
                <w:sz w:val="20"/>
                <w:szCs w:val="20"/>
              </w:rPr>
              <w:t>e, potla</w:t>
            </w:r>
            <w:r>
              <w:rPr>
                <w:rFonts w:ascii="Arial-OneByteIdentityH" w:hAnsi="Arial-OneByteIdentityH" w:cs="Arial-OneByteIdentityH"/>
                <w:sz w:val="20"/>
                <w:szCs w:val="20"/>
              </w:rPr>
              <w:t>č</w:t>
            </w:r>
            <w:r>
              <w:rPr>
                <w:rFonts w:ascii="Helvetica" w:hAnsi="Helvetica" w:cs="Helvetica"/>
                <w:sz w:val="20"/>
                <w:szCs w:val="20"/>
              </w:rPr>
              <w:t xml:space="preserve">ování všech forem závažné trestné </w:t>
            </w:r>
            <w:r>
              <w:rPr>
                <w:rFonts w:ascii="Arial-OneByteIdentityH" w:hAnsi="Arial-OneByteIdentityH" w:cs="Arial-OneByteIdentityH"/>
                <w:sz w:val="20"/>
                <w:szCs w:val="20"/>
              </w:rPr>
              <w:t>č</w:t>
            </w:r>
            <w:r>
              <w:rPr>
                <w:rFonts w:ascii="Helvetica" w:hAnsi="Helvetica" w:cs="Helvetica"/>
                <w:sz w:val="20"/>
                <w:szCs w:val="20"/>
              </w:rPr>
              <w:t>innosti. To vyžaduje vyvážený systém prevence a represe a sou</w:t>
            </w:r>
            <w:r>
              <w:rPr>
                <w:rFonts w:ascii="Arial-OneByteIdentityH" w:hAnsi="Arial-OneByteIdentityH" w:cs="Arial-OneByteIdentityH"/>
                <w:sz w:val="20"/>
                <w:szCs w:val="20"/>
              </w:rPr>
              <w:t>č</w:t>
            </w:r>
            <w:r>
              <w:rPr>
                <w:rFonts w:ascii="Helvetica" w:hAnsi="Helvetica" w:cs="Helvetica"/>
                <w:sz w:val="20"/>
                <w:szCs w:val="20"/>
              </w:rPr>
              <w:t>asn</w:t>
            </w:r>
            <w:r>
              <w:rPr>
                <w:rFonts w:ascii="Arial-OneByteIdentityH" w:hAnsi="Arial-OneByteIdentityH" w:cs="Arial-OneByteIdentityH"/>
                <w:sz w:val="20"/>
                <w:szCs w:val="20"/>
              </w:rPr>
              <w:t xml:space="preserve">ě </w:t>
            </w:r>
            <w:r>
              <w:rPr>
                <w:rFonts w:ascii="Helvetica" w:hAnsi="Helvetica" w:cs="Helvetica"/>
                <w:sz w:val="20"/>
                <w:szCs w:val="20"/>
              </w:rPr>
              <w:t xml:space="preserve">schopnost sledovat vývojové trendy kriminality, reagovat na využívání nových technologií </w:t>
            </w:r>
            <w:r>
              <w:rPr>
                <w:rFonts w:ascii="Arial-OneByteIdentityH" w:hAnsi="Arial-OneByteIdentityH" w:cs="Arial-OneByteIdentityH"/>
                <w:sz w:val="20"/>
                <w:szCs w:val="20"/>
              </w:rPr>
              <w:t>č</w:t>
            </w:r>
            <w:r>
              <w:rPr>
                <w:rFonts w:ascii="Helvetica" w:hAnsi="Helvetica" w:cs="Helvetica"/>
                <w:sz w:val="20"/>
                <w:szCs w:val="20"/>
              </w:rPr>
              <w:t>i zneužívání digitálních nástroj</w:t>
            </w:r>
            <w:r>
              <w:rPr>
                <w:rFonts w:ascii="Arial-OneByteIdentityH" w:hAnsi="Arial-OneByteIdentityH" w:cs="Arial-OneByteIdentityH"/>
                <w:sz w:val="20"/>
                <w:szCs w:val="20"/>
              </w:rPr>
              <w:t xml:space="preserve">ů </w:t>
            </w:r>
            <w:r>
              <w:rPr>
                <w:rFonts w:ascii="Helvetica" w:hAnsi="Helvetica" w:cs="Helvetica"/>
                <w:sz w:val="20"/>
                <w:szCs w:val="20"/>
              </w:rPr>
              <w:t xml:space="preserve">k páchání trestné </w:t>
            </w:r>
            <w:r>
              <w:rPr>
                <w:rFonts w:ascii="Arial-OneByteIdentityH" w:hAnsi="Arial-OneByteIdentityH" w:cs="Arial-OneByteIdentityH"/>
                <w:sz w:val="20"/>
                <w:szCs w:val="20"/>
              </w:rPr>
              <w:t>č</w:t>
            </w:r>
            <w:r>
              <w:rPr>
                <w:rFonts w:ascii="Helvetica" w:hAnsi="Helvetica" w:cs="Helvetica"/>
                <w:sz w:val="20"/>
                <w:szCs w:val="20"/>
              </w:rPr>
              <w:t>innosti, porozum</w:t>
            </w:r>
            <w:r>
              <w:rPr>
                <w:rFonts w:ascii="Arial-OneByteIdentityH" w:hAnsi="Arial-OneByteIdentityH" w:cs="Arial-OneByteIdentityH"/>
                <w:sz w:val="20"/>
                <w:szCs w:val="20"/>
              </w:rPr>
              <w:t>ě</w:t>
            </w:r>
            <w:r>
              <w:rPr>
                <w:rFonts w:ascii="Helvetica" w:hAnsi="Helvetica" w:cs="Helvetica"/>
                <w:sz w:val="20"/>
                <w:szCs w:val="20"/>
              </w:rPr>
              <w:t>t princip</w:t>
            </w:r>
            <w:r>
              <w:rPr>
                <w:rFonts w:ascii="Arial-OneByteIdentityH" w:hAnsi="Arial-OneByteIdentityH" w:cs="Arial-OneByteIdentityH"/>
                <w:sz w:val="20"/>
                <w:szCs w:val="20"/>
              </w:rPr>
              <w:t>ů</w:t>
            </w:r>
            <w:r>
              <w:rPr>
                <w:rFonts w:ascii="Helvetica" w:hAnsi="Helvetica" w:cs="Helvetica"/>
                <w:sz w:val="20"/>
                <w:szCs w:val="20"/>
              </w:rPr>
              <w:t>m adaptace kriminální sféry na nové demografické podmínky a mapovat míru latentní kriminality.</w:t>
            </w:r>
          </w:p>
        </w:tc>
        <w:tc>
          <w:tcPr>
            <w:tcW w:w="675"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A82064">
        <w:tc>
          <w:tcPr>
            <w:tcW w:w="419"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3</w:t>
            </w:r>
          </w:p>
        </w:tc>
        <w:tc>
          <w:tcPr>
            <w:tcW w:w="1629"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Ochrana kritické infrastruktury</w:t>
            </w:r>
          </w:p>
        </w:tc>
        <w:tc>
          <w:tcPr>
            <w:tcW w:w="6025" w:type="dxa"/>
            <w:tcBorders>
              <w:top w:val="single" w:sz="4" w:space="0" w:color="auto"/>
              <w:left w:val="single" w:sz="4" w:space="0" w:color="auto"/>
              <w:bottom w:val="single" w:sz="4" w:space="0" w:color="auto"/>
              <w:right w:val="single" w:sz="4" w:space="0" w:color="auto"/>
            </w:tcBorders>
            <w:hideMark/>
          </w:tcPr>
          <w:p w:rsidR="00A82064" w:rsidRDefault="00A82064" w:rsidP="00A82064">
            <w:pPr>
              <w:autoSpaceDE w:val="0"/>
              <w:autoSpaceDN w:val="0"/>
              <w:adjustRightInd w:val="0"/>
              <w:spacing w:after="0" w:line="240" w:lineRule="auto"/>
              <w:jc w:val="both"/>
              <w:rPr>
                <w:rFonts w:ascii="Helvetica" w:hAnsi="Helvetica" w:cs="Helvetica"/>
                <w:sz w:val="20"/>
                <w:szCs w:val="20"/>
              </w:rPr>
            </w:pPr>
            <w:r>
              <w:rPr>
                <w:rFonts w:ascii="Helvetica" w:hAnsi="Helvetica" w:cs="Helvetica"/>
                <w:sz w:val="20"/>
                <w:szCs w:val="20"/>
              </w:rPr>
              <w:t>Zajistit funk</w:t>
            </w:r>
            <w:r>
              <w:rPr>
                <w:rFonts w:ascii="Arial-OneByteIdentityH" w:hAnsi="Arial-OneByteIdentityH" w:cs="Arial-OneByteIdentityH"/>
                <w:sz w:val="20"/>
                <w:szCs w:val="20"/>
              </w:rPr>
              <w:t>č</w:t>
            </w:r>
            <w:r>
              <w:rPr>
                <w:rFonts w:ascii="Helvetica" w:hAnsi="Helvetica" w:cs="Helvetica"/>
                <w:sz w:val="20"/>
                <w:szCs w:val="20"/>
              </w:rPr>
              <w:t>nost KI s cílem zamezit rozvinutí nežádoucích stav</w:t>
            </w:r>
            <w:r>
              <w:rPr>
                <w:rFonts w:ascii="Arial-OneByteIdentityH" w:hAnsi="Arial-OneByteIdentityH" w:cs="Arial-OneByteIdentityH"/>
                <w:sz w:val="20"/>
                <w:szCs w:val="20"/>
              </w:rPr>
              <w:t>ů</w:t>
            </w:r>
            <w:r>
              <w:rPr>
                <w:rFonts w:ascii="Helvetica" w:hAnsi="Helvetica" w:cs="Helvetica"/>
                <w:sz w:val="20"/>
                <w:szCs w:val="20"/>
              </w:rPr>
              <w:t>, vzniklých v d</w:t>
            </w:r>
            <w:r>
              <w:rPr>
                <w:rFonts w:ascii="Arial-OneByteIdentityH" w:hAnsi="Arial-OneByteIdentityH" w:cs="Arial-OneByteIdentityH"/>
                <w:sz w:val="20"/>
                <w:szCs w:val="20"/>
              </w:rPr>
              <w:t>ů</w:t>
            </w:r>
            <w:r>
              <w:rPr>
                <w:rFonts w:ascii="Helvetica" w:hAnsi="Helvetica" w:cs="Helvetica"/>
                <w:sz w:val="20"/>
                <w:szCs w:val="20"/>
              </w:rPr>
              <w:t>sledku mimo</w:t>
            </w:r>
            <w:r>
              <w:rPr>
                <w:rFonts w:ascii="Arial-OneByteIdentityH" w:hAnsi="Arial-OneByteIdentityH" w:cs="Arial-OneByteIdentityH"/>
                <w:sz w:val="20"/>
                <w:szCs w:val="20"/>
              </w:rPr>
              <w:t>ř</w:t>
            </w:r>
            <w:r>
              <w:rPr>
                <w:rFonts w:ascii="Helvetica" w:hAnsi="Helvetica" w:cs="Helvetica"/>
                <w:sz w:val="20"/>
                <w:szCs w:val="20"/>
              </w:rPr>
              <w:t>ádných událostí a krizových situací. To vyžaduje rozvoj legislativního rámce, regula</w:t>
            </w:r>
            <w:r>
              <w:rPr>
                <w:rFonts w:ascii="Arial-OneByteIdentityH" w:hAnsi="Arial-OneByteIdentityH" w:cs="Arial-OneByteIdentityH"/>
                <w:sz w:val="20"/>
                <w:szCs w:val="20"/>
              </w:rPr>
              <w:t>č</w:t>
            </w:r>
            <w:r>
              <w:rPr>
                <w:rFonts w:ascii="Helvetica" w:hAnsi="Helvetica" w:cs="Helvetica"/>
                <w:sz w:val="20"/>
                <w:szCs w:val="20"/>
              </w:rPr>
              <w:t xml:space="preserve">ních politik a metodik </w:t>
            </w:r>
            <w:r>
              <w:rPr>
                <w:rFonts w:ascii="Arial-OneByteIdentityH" w:hAnsi="Arial-OneByteIdentityH" w:cs="Arial-OneByteIdentityH"/>
                <w:sz w:val="20"/>
                <w:szCs w:val="20"/>
              </w:rPr>
              <w:t>č</w:t>
            </w:r>
            <w:r>
              <w:rPr>
                <w:rFonts w:ascii="Helvetica" w:hAnsi="Helvetica" w:cs="Helvetica"/>
                <w:sz w:val="20"/>
                <w:szCs w:val="20"/>
              </w:rPr>
              <w:t>i aplika</w:t>
            </w:r>
            <w:r>
              <w:rPr>
                <w:rFonts w:ascii="Arial-OneByteIdentityH" w:hAnsi="Arial-OneByteIdentityH" w:cs="Arial-OneByteIdentityH"/>
                <w:sz w:val="20"/>
                <w:szCs w:val="20"/>
              </w:rPr>
              <w:t>č</w:t>
            </w:r>
            <w:r>
              <w:rPr>
                <w:rFonts w:ascii="Helvetica" w:hAnsi="Helvetica" w:cs="Helvetica"/>
                <w:sz w:val="20"/>
                <w:szCs w:val="20"/>
              </w:rPr>
              <w:t>ních postup</w:t>
            </w:r>
            <w:r>
              <w:rPr>
                <w:rFonts w:ascii="Arial-OneByteIdentityH" w:hAnsi="Arial-OneByteIdentityH" w:cs="Arial-OneByteIdentityH"/>
                <w:sz w:val="20"/>
                <w:szCs w:val="20"/>
              </w:rPr>
              <w:t>ů</w:t>
            </w:r>
            <w:r>
              <w:rPr>
                <w:rFonts w:ascii="Helvetica" w:hAnsi="Helvetica" w:cs="Helvetica"/>
                <w:sz w:val="20"/>
                <w:szCs w:val="20"/>
              </w:rPr>
              <w:t xml:space="preserve"> tvorby analýz rizik, navrhování a výb</w:t>
            </w:r>
            <w:r>
              <w:rPr>
                <w:rFonts w:ascii="Arial-OneByteIdentityH" w:hAnsi="Arial-OneByteIdentityH" w:cs="Arial-OneByteIdentityH"/>
                <w:sz w:val="20"/>
                <w:szCs w:val="20"/>
              </w:rPr>
              <w:t>ě</w:t>
            </w:r>
            <w:r>
              <w:rPr>
                <w:rFonts w:ascii="Helvetica" w:hAnsi="Helvetica" w:cs="Helvetica"/>
                <w:sz w:val="20"/>
                <w:szCs w:val="20"/>
              </w:rPr>
              <w:t>ru preventivních opat</w:t>
            </w:r>
            <w:r>
              <w:rPr>
                <w:rFonts w:ascii="Arial-OneByteIdentityH" w:hAnsi="Arial-OneByteIdentityH" w:cs="Arial-OneByteIdentityH"/>
                <w:sz w:val="20"/>
                <w:szCs w:val="20"/>
              </w:rPr>
              <w:t>ř</w:t>
            </w:r>
            <w:r>
              <w:rPr>
                <w:rFonts w:ascii="Helvetica" w:hAnsi="Helvetica" w:cs="Helvetica"/>
                <w:sz w:val="20"/>
                <w:szCs w:val="20"/>
              </w:rPr>
              <w:t>ení k odvrácení hrozeb pro jednotlivá odv</w:t>
            </w:r>
            <w:r>
              <w:rPr>
                <w:rFonts w:ascii="Arial-OneByteIdentityH" w:hAnsi="Arial-OneByteIdentityH" w:cs="Arial-OneByteIdentityH"/>
                <w:sz w:val="20"/>
                <w:szCs w:val="20"/>
              </w:rPr>
              <w:t>ě</w:t>
            </w:r>
            <w:r>
              <w:rPr>
                <w:rFonts w:ascii="Helvetica" w:hAnsi="Helvetica" w:cs="Helvetica"/>
                <w:sz w:val="20"/>
                <w:szCs w:val="20"/>
              </w:rPr>
              <w:t xml:space="preserve">tví kritické infrastruktury, dále pak vývoj nových technologických </w:t>
            </w:r>
            <w:r>
              <w:rPr>
                <w:rFonts w:ascii="Arial-OneByteIdentityH" w:hAnsi="Arial-OneByteIdentityH" w:cs="Arial-OneByteIdentityH"/>
                <w:sz w:val="20"/>
                <w:szCs w:val="20"/>
              </w:rPr>
              <w:t>ř</w:t>
            </w:r>
            <w:r>
              <w:rPr>
                <w:rFonts w:ascii="Helvetica" w:hAnsi="Helvetica" w:cs="Helvetica"/>
                <w:sz w:val="20"/>
                <w:szCs w:val="20"/>
              </w:rPr>
              <w:t xml:space="preserve">ešení, která zahrnují metody získávání </w:t>
            </w:r>
            <w:r>
              <w:rPr>
                <w:rFonts w:ascii="Helvetica" w:hAnsi="Helvetica" w:cs="Helvetica"/>
                <w:sz w:val="20"/>
                <w:szCs w:val="20"/>
              </w:rPr>
              <w:lastRenderedPageBreak/>
              <w:t>klí</w:t>
            </w:r>
            <w:r>
              <w:rPr>
                <w:rFonts w:ascii="Arial-OneByteIdentityH" w:hAnsi="Arial-OneByteIdentityH" w:cs="Arial-OneByteIdentityH"/>
                <w:sz w:val="20"/>
                <w:szCs w:val="20"/>
              </w:rPr>
              <w:t>č</w:t>
            </w:r>
            <w:r>
              <w:rPr>
                <w:rFonts w:ascii="Helvetica" w:hAnsi="Helvetica" w:cs="Helvetica"/>
                <w:sz w:val="20"/>
                <w:szCs w:val="20"/>
              </w:rPr>
              <w:t>ových situa</w:t>
            </w:r>
            <w:r>
              <w:rPr>
                <w:rFonts w:ascii="Arial-OneByteIdentityH" w:hAnsi="Arial-OneByteIdentityH" w:cs="Arial-OneByteIdentityH"/>
                <w:sz w:val="20"/>
                <w:szCs w:val="20"/>
              </w:rPr>
              <w:t>č</w:t>
            </w:r>
            <w:r>
              <w:rPr>
                <w:rFonts w:ascii="Helvetica" w:hAnsi="Helvetica" w:cs="Helvetica"/>
                <w:sz w:val="20"/>
                <w:szCs w:val="20"/>
              </w:rPr>
              <w:t>ních informací, metody optimálního návrhu systém</w:t>
            </w:r>
            <w:r>
              <w:rPr>
                <w:rFonts w:ascii="Arial-OneByteIdentityH" w:hAnsi="Arial-OneByteIdentityH" w:cs="Arial-OneByteIdentityH"/>
                <w:sz w:val="20"/>
                <w:szCs w:val="20"/>
              </w:rPr>
              <w:t xml:space="preserve">ů </w:t>
            </w:r>
            <w:r>
              <w:rPr>
                <w:rFonts w:ascii="Helvetica" w:hAnsi="Helvetica" w:cs="Helvetica"/>
                <w:sz w:val="20"/>
                <w:szCs w:val="20"/>
              </w:rPr>
              <w:t>ochrany kritické infrastruktury s ohledem na jejich vzájemné závislosti a metody sm</w:t>
            </w:r>
            <w:r>
              <w:rPr>
                <w:rFonts w:ascii="Arial-OneByteIdentityH" w:hAnsi="Arial-OneByteIdentityH" w:cs="Arial-OneByteIdentityH"/>
                <w:sz w:val="20"/>
                <w:szCs w:val="20"/>
              </w:rPr>
              <w:t>ěř</w:t>
            </w:r>
            <w:r>
              <w:rPr>
                <w:rFonts w:ascii="Helvetica" w:hAnsi="Helvetica" w:cs="Helvetica"/>
                <w:sz w:val="20"/>
                <w:szCs w:val="20"/>
              </w:rPr>
              <w:t>ující k minimalizaci škod a k rychlé obnov</w:t>
            </w:r>
            <w:r>
              <w:rPr>
                <w:rFonts w:ascii="Arial-OneByteIdentityH" w:hAnsi="Arial-OneByteIdentityH" w:cs="Arial-OneByteIdentityH"/>
                <w:sz w:val="20"/>
                <w:szCs w:val="20"/>
              </w:rPr>
              <w:t xml:space="preserve">ě </w:t>
            </w:r>
            <w:r>
              <w:rPr>
                <w:rFonts w:ascii="Helvetica" w:hAnsi="Helvetica" w:cs="Helvetica"/>
                <w:sz w:val="20"/>
                <w:szCs w:val="20"/>
              </w:rPr>
              <w:t>jejich funk</w:t>
            </w:r>
            <w:r>
              <w:rPr>
                <w:rFonts w:ascii="Arial-OneByteIdentityH" w:hAnsi="Arial-OneByteIdentityH" w:cs="Arial-OneByteIdentityH"/>
                <w:sz w:val="20"/>
                <w:szCs w:val="20"/>
              </w:rPr>
              <w:t>č</w:t>
            </w:r>
            <w:r>
              <w:rPr>
                <w:rFonts w:ascii="Helvetica" w:hAnsi="Helvetica" w:cs="Helvetica"/>
                <w:sz w:val="20"/>
                <w:szCs w:val="20"/>
              </w:rPr>
              <w:t>nosti.</w:t>
            </w:r>
          </w:p>
        </w:tc>
        <w:tc>
          <w:tcPr>
            <w:tcW w:w="675"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A82064">
        <w:tc>
          <w:tcPr>
            <w:tcW w:w="419"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4</w:t>
            </w:r>
          </w:p>
        </w:tc>
        <w:tc>
          <w:tcPr>
            <w:tcW w:w="1629"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Rozvoj bezpečnostní politiky a bezpečnostního systému</w:t>
            </w:r>
          </w:p>
        </w:tc>
        <w:tc>
          <w:tcPr>
            <w:tcW w:w="6025" w:type="dxa"/>
            <w:tcBorders>
              <w:top w:val="single" w:sz="4" w:space="0" w:color="auto"/>
              <w:left w:val="single" w:sz="4" w:space="0" w:color="auto"/>
              <w:bottom w:val="single" w:sz="4" w:space="0" w:color="auto"/>
              <w:right w:val="single" w:sz="4" w:space="0" w:color="auto"/>
            </w:tcBorders>
            <w:hideMark/>
          </w:tcPr>
          <w:p w:rsidR="00A82064" w:rsidRDefault="00A82064" w:rsidP="00A82064">
            <w:pPr>
              <w:autoSpaceDE w:val="0"/>
              <w:autoSpaceDN w:val="0"/>
              <w:adjustRightInd w:val="0"/>
              <w:spacing w:after="0" w:line="240" w:lineRule="auto"/>
              <w:jc w:val="both"/>
              <w:rPr>
                <w:rFonts w:ascii="Helvetica" w:hAnsi="Helvetica" w:cs="Helvetica"/>
                <w:sz w:val="20"/>
                <w:szCs w:val="20"/>
              </w:rPr>
            </w:pPr>
            <w:r>
              <w:rPr>
                <w:rFonts w:ascii="Helvetica" w:hAnsi="Helvetica" w:cs="Helvetica"/>
                <w:sz w:val="20"/>
                <w:szCs w:val="20"/>
              </w:rPr>
              <w:t>Zdokonalit mechanismus pro tvorbu a realizaci bezpe</w:t>
            </w:r>
            <w:r>
              <w:rPr>
                <w:rFonts w:ascii="Arial-OneByteIdentityH" w:hAnsi="Arial-OneByteIdentityH" w:cs="Arial-OneByteIdentityH"/>
                <w:sz w:val="20"/>
                <w:szCs w:val="20"/>
              </w:rPr>
              <w:t>č</w:t>
            </w:r>
            <w:r>
              <w:rPr>
                <w:rFonts w:ascii="Helvetica" w:hAnsi="Helvetica" w:cs="Helvetica"/>
                <w:sz w:val="20"/>
                <w:szCs w:val="20"/>
              </w:rPr>
              <w:t>nostní politiky, vycházející z jasn</w:t>
            </w:r>
            <w:r>
              <w:rPr>
                <w:rFonts w:ascii="Arial-OneByteIdentityH" w:hAnsi="Arial-OneByteIdentityH" w:cs="Arial-OneByteIdentityH"/>
                <w:sz w:val="20"/>
                <w:szCs w:val="20"/>
              </w:rPr>
              <w:t xml:space="preserve">ě </w:t>
            </w:r>
            <w:r>
              <w:rPr>
                <w:rFonts w:ascii="Helvetica" w:hAnsi="Helvetica" w:cs="Helvetica"/>
                <w:sz w:val="20"/>
                <w:szCs w:val="20"/>
              </w:rPr>
              <w:t xml:space="preserve">definované struktury, úlohy a místa strategických </w:t>
            </w:r>
            <w:r>
              <w:rPr>
                <w:rFonts w:ascii="Arial-OneByteIdentityH" w:hAnsi="Arial-OneByteIdentityH" w:cs="Arial-OneByteIdentityH"/>
                <w:sz w:val="20"/>
                <w:szCs w:val="20"/>
              </w:rPr>
              <w:t>ř</w:t>
            </w:r>
            <w:r>
              <w:rPr>
                <w:rFonts w:ascii="Helvetica" w:hAnsi="Helvetica" w:cs="Helvetica"/>
                <w:sz w:val="20"/>
                <w:szCs w:val="20"/>
              </w:rPr>
              <w:t>ídících a hodnotících dokument</w:t>
            </w:r>
            <w:r>
              <w:rPr>
                <w:rFonts w:ascii="Arial-OneByteIdentityH" w:hAnsi="Arial-OneByteIdentityH" w:cs="Arial-OneByteIdentityH"/>
                <w:sz w:val="20"/>
                <w:szCs w:val="20"/>
              </w:rPr>
              <w:t xml:space="preserve">ů </w:t>
            </w:r>
            <w:r>
              <w:rPr>
                <w:rFonts w:ascii="Helvetica" w:hAnsi="Helvetica" w:cs="Helvetica"/>
                <w:sz w:val="20"/>
                <w:szCs w:val="20"/>
              </w:rPr>
              <w:t>v oblasti bezpe</w:t>
            </w:r>
            <w:r>
              <w:rPr>
                <w:rFonts w:ascii="Arial-OneByteIdentityH" w:hAnsi="Arial-OneByteIdentityH" w:cs="Arial-OneByteIdentityH"/>
                <w:sz w:val="20"/>
                <w:szCs w:val="20"/>
              </w:rPr>
              <w:t>č</w:t>
            </w:r>
            <w:r>
              <w:rPr>
                <w:rFonts w:ascii="Helvetica" w:hAnsi="Helvetica" w:cs="Helvetica"/>
                <w:sz w:val="20"/>
                <w:szCs w:val="20"/>
              </w:rPr>
              <w:t>nosti, které je nutno pravideln</w:t>
            </w:r>
            <w:r>
              <w:rPr>
                <w:rFonts w:ascii="Arial-OneByteIdentityH" w:hAnsi="Arial-OneByteIdentityH" w:cs="Arial-OneByteIdentityH"/>
                <w:sz w:val="20"/>
                <w:szCs w:val="20"/>
              </w:rPr>
              <w:t>ě</w:t>
            </w:r>
            <w:r>
              <w:rPr>
                <w:rFonts w:ascii="Helvetica" w:hAnsi="Helvetica" w:cs="Helvetica"/>
                <w:sz w:val="20"/>
                <w:szCs w:val="20"/>
              </w:rPr>
              <w:t xml:space="preserve"> aktualizovat v závislosti na vývoji bezpe</w:t>
            </w:r>
            <w:r>
              <w:rPr>
                <w:rFonts w:ascii="Arial-OneByteIdentityH" w:hAnsi="Arial-OneByteIdentityH" w:cs="Arial-OneByteIdentityH"/>
                <w:sz w:val="20"/>
                <w:szCs w:val="20"/>
              </w:rPr>
              <w:t>č</w:t>
            </w:r>
            <w:r>
              <w:rPr>
                <w:rFonts w:ascii="Helvetica" w:hAnsi="Helvetica" w:cs="Helvetica"/>
                <w:sz w:val="20"/>
                <w:szCs w:val="20"/>
              </w:rPr>
              <w:t>nostního prost</w:t>
            </w:r>
            <w:r>
              <w:rPr>
                <w:rFonts w:ascii="Arial-OneByteIdentityH" w:hAnsi="Arial-OneByteIdentityH" w:cs="Arial-OneByteIdentityH"/>
                <w:sz w:val="20"/>
                <w:szCs w:val="20"/>
              </w:rPr>
              <w:t>ř</w:t>
            </w:r>
            <w:r>
              <w:rPr>
                <w:rFonts w:ascii="Helvetica" w:hAnsi="Helvetica" w:cs="Helvetica"/>
                <w:sz w:val="20"/>
                <w:szCs w:val="20"/>
              </w:rPr>
              <w:t>edí. Tyto dokumenty a postupy k jejich implementaci musí napomáhat bezpe</w:t>
            </w:r>
            <w:r>
              <w:rPr>
                <w:rFonts w:ascii="Arial-OneByteIdentityH" w:hAnsi="Arial-OneByteIdentityH" w:cs="Arial-OneByteIdentityH"/>
                <w:sz w:val="20"/>
                <w:szCs w:val="20"/>
              </w:rPr>
              <w:t>č</w:t>
            </w:r>
            <w:r>
              <w:rPr>
                <w:rFonts w:ascii="Helvetica" w:hAnsi="Helvetica" w:cs="Helvetica"/>
                <w:sz w:val="20"/>
                <w:szCs w:val="20"/>
              </w:rPr>
              <w:t xml:space="preserve">nostnímu systému </w:t>
            </w:r>
            <w:r>
              <w:rPr>
                <w:rFonts w:ascii="Arial-OneByteIdentityH" w:hAnsi="Arial-OneByteIdentityH" w:cs="Arial-OneByteIdentityH"/>
                <w:sz w:val="20"/>
                <w:szCs w:val="20"/>
              </w:rPr>
              <w:t>Č</w:t>
            </w:r>
            <w:r>
              <w:rPr>
                <w:rFonts w:ascii="Helvetica" w:hAnsi="Helvetica" w:cs="Helvetica"/>
                <w:sz w:val="20"/>
                <w:szCs w:val="20"/>
              </w:rPr>
              <w:t>R reagovat na dynamicky se m</w:t>
            </w:r>
            <w:r>
              <w:rPr>
                <w:rFonts w:ascii="Arial-OneByteIdentityH" w:hAnsi="Arial-OneByteIdentityH" w:cs="Arial-OneByteIdentityH"/>
                <w:sz w:val="20"/>
                <w:szCs w:val="20"/>
              </w:rPr>
              <w:t>ě</w:t>
            </w:r>
            <w:r>
              <w:rPr>
                <w:rFonts w:ascii="Helvetica" w:hAnsi="Helvetica" w:cs="Helvetica"/>
                <w:sz w:val="20"/>
                <w:szCs w:val="20"/>
              </w:rPr>
              <w:t>nící a rozvíjející vn</w:t>
            </w:r>
            <w:r>
              <w:rPr>
                <w:rFonts w:ascii="Arial-OneByteIdentityH" w:hAnsi="Arial-OneByteIdentityH" w:cs="Arial-OneByteIdentityH"/>
                <w:sz w:val="20"/>
                <w:szCs w:val="20"/>
              </w:rPr>
              <w:t>ě</w:t>
            </w:r>
            <w:r>
              <w:rPr>
                <w:rFonts w:ascii="Helvetica" w:hAnsi="Helvetica" w:cs="Helvetica"/>
                <w:sz w:val="20"/>
                <w:szCs w:val="20"/>
              </w:rPr>
              <w:t>jší vnit</w:t>
            </w:r>
            <w:r>
              <w:rPr>
                <w:rFonts w:ascii="Arial-OneByteIdentityH" w:hAnsi="Arial-OneByteIdentityH" w:cs="Arial-OneByteIdentityH"/>
                <w:sz w:val="20"/>
                <w:szCs w:val="20"/>
              </w:rPr>
              <w:t>ř</w:t>
            </w:r>
            <w:r>
              <w:rPr>
                <w:rFonts w:ascii="Helvetica" w:hAnsi="Helvetica" w:cs="Helvetica"/>
                <w:sz w:val="20"/>
                <w:szCs w:val="20"/>
              </w:rPr>
              <w:t xml:space="preserve">ní podmínky, které jeho </w:t>
            </w:r>
            <w:r>
              <w:rPr>
                <w:rFonts w:ascii="Arial-OneByteIdentityH" w:hAnsi="Arial-OneByteIdentityH" w:cs="Arial-OneByteIdentityH"/>
                <w:sz w:val="20"/>
                <w:szCs w:val="20"/>
              </w:rPr>
              <w:t>č</w:t>
            </w:r>
            <w:r>
              <w:rPr>
                <w:rFonts w:ascii="Helvetica" w:hAnsi="Helvetica" w:cs="Helvetica"/>
                <w:sz w:val="20"/>
                <w:szCs w:val="20"/>
              </w:rPr>
              <w:t>innost významn</w:t>
            </w:r>
            <w:r>
              <w:rPr>
                <w:rFonts w:ascii="Arial-OneByteIdentityH" w:hAnsi="Arial-OneByteIdentityH" w:cs="Arial-OneByteIdentityH"/>
                <w:sz w:val="20"/>
                <w:szCs w:val="20"/>
              </w:rPr>
              <w:t xml:space="preserve">ě </w:t>
            </w:r>
            <w:r>
              <w:rPr>
                <w:rFonts w:ascii="Helvetica" w:hAnsi="Helvetica" w:cs="Helvetica"/>
                <w:sz w:val="20"/>
                <w:szCs w:val="20"/>
              </w:rPr>
              <w:t>ovliv</w:t>
            </w:r>
            <w:r>
              <w:rPr>
                <w:rFonts w:ascii="Arial-OneByteIdentityH" w:hAnsi="Arial-OneByteIdentityH" w:cs="Arial-OneByteIdentityH"/>
                <w:sz w:val="20"/>
                <w:szCs w:val="20"/>
              </w:rPr>
              <w:t>ň</w:t>
            </w:r>
            <w:r>
              <w:rPr>
                <w:rFonts w:ascii="Helvetica" w:hAnsi="Helvetica" w:cs="Helvetica"/>
                <w:sz w:val="20"/>
                <w:szCs w:val="20"/>
              </w:rPr>
              <w:t>ují.</w:t>
            </w:r>
          </w:p>
        </w:tc>
        <w:tc>
          <w:tcPr>
            <w:tcW w:w="675"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A82064">
        <w:tc>
          <w:tcPr>
            <w:tcW w:w="419"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5</w:t>
            </w:r>
          </w:p>
        </w:tc>
        <w:tc>
          <w:tcPr>
            <w:tcW w:w="1629"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Analýza bezpečnostních hrozeb a rizik</w:t>
            </w:r>
          </w:p>
        </w:tc>
        <w:tc>
          <w:tcPr>
            <w:tcW w:w="6025" w:type="dxa"/>
            <w:tcBorders>
              <w:top w:val="single" w:sz="4" w:space="0" w:color="auto"/>
              <w:left w:val="single" w:sz="4" w:space="0" w:color="auto"/>
              <w:bottom w:val="single" w:sz="4" w:space="0" w:color="auto"/>
              <w:right w:val="single" w:sz="4" w:space="0" w:color="auto"/>
            </w:tcBorders>
            <w:hideMark/>
          </w:tcPr>
          <w:p w:rsidR="00A82064" w:rsidRDefault="00A82064" w:rsidP="00A82064">
            <w:pPr>
              <w:autoSpaceDE w:val="0"/>
              <w:autoSpaceDN w:val="0"/>
              <w:adjustRightInd w:val="0"/>
              <w:spacing w:after="0" w:line="240" w:lineRule="auto"/>
              <w:jc w:val="both"/>
              <w:rPr>
                <w:rFonts w:ascii="Helvetica" w:hAnsi="Helvetica" w:cs="Helvetica"/>
                <w:sz w:val="20"/>
                <w:szCs w:val="20"/>
              </w:rPr>
            </w:pPr>
            <w:r>
              <w:rPr>
                <w:rFonts w:ascii="Helvetica" w:hAnsi="Helvetica" w:cs="Helvetica"/>
                <w:sz w:val="20"/>
                <w:szCs w:val="20"/>
              </w:rPr>
              <w:t>Zajistit kvantitativní a kvalitativní analýzy bezpe</w:t>
            </w:r>
            <w:r>
              <w:rPr>
                <w:rFonts w:ascii="Arial-OneByteIdentityH" w:hAnsi="Arial-OneByteIdentityH" w:cs="Arial-OneByteIdentityH"/>
                <w:sz w:val="20"/>
                <w:szCs w:val="20"/>
              </w:rPr>
              <w:t>č</w:t>
            </w:r>
            <w:r>
              <w:rPr>
                <w:rFonts w:ascii="Helvetica" w:hAnsi="Helvetica" w:cs="Helvetica"/>
                <w:sz w:val="20"/>
                <w:szCs w:val="20"/>
              </w:rPr>
              <w:t>nostních hrozeb, predikce vývoje bezpe</w:t>
            </w:r>
            <w:r>
              <w:rPr>
                <w:rFonts w:ascii="Arial-OneByteIdentityH" w:hAnsi="Arial-OneByteIdentityH" w:cs="Arial-OneByteIdentityH"/>
                <w:sz w:val="20"/>
                <w:szCs w:val="20"/>
              </w:rPr>
              <w:t>č</w:t>
            </w:r>
            <w:r>
              <w:rPr>
                <w:rFonts w:ascii="Helvetica" w:hAnsi="Helvetica" w:cs="Helvetica"/>
                <w:sz w:val="20"/>
                <w:szCs w:val="20"/>
              </w:rPr>
              <w:t>nostních rizik, monitoring nov</w:t>
            </w:r>
            <w:r>
              <w:rPr>
                <w:rFonts w:ascii="Arial-OneByteIdentityH" w:hAnsi="Arial-OneByteIdentityH" w:cs="Arial-OneByteIdentityH"/>
                <w:sz w:val="20"/>
                <w:szCs w:val="20"/>
              </w:rPr>
              <w:t xml:space="preserve">ě </w:t>
            </w:r>
            <w:r>
              <w:rPr>
                <w:rFonts w:ascii="Helvetica" w:hAnsi="Helvetica" w:cs="Helvetica"/>
                <w:sz w:val="20"/>
                <w:szCs w:val="20"/>
              </w:rPr>
              <w:t>se objevujících dosud neznámých rizik, a to i prost</w:t>
            </w:r>
            <w:r>
              <w:rPr>
                <w:rFonts w:ascii="Arial-OneByteIdentityH" w:hAnsi="Arial-OneByteIdentityH" w:cs="Arial-OneByteIdentityH"/>
                <w:sz w:val="20"/>
                <w:szCs w:val="20"/>
              </w:rPr>
              <w:t>ř</w:t>
            </w:r>
            <w:r>
              <w:rPr>
                <w:rFonts w:ascii="Helvetica" w:hAnsi="Helvetica" w:cs="Helvetica"/>
                <w:sz w:val="20"/>
                <w:szCs w:val="20"/>
              </w:rPr>
              <w:t>ednictvím pravideln</w:t>
            </w:r>
            <w:r>
              <w:rPr>
                <w:rFonts w:ascii="Arial-OneByteIdentityH" w:hAnsi="Arial-OneByteIdentityH" w:cs="Arial-OneByteIdentityH"/>
                <w:sz w:val="20"/>
                <w:szCs w:val="20"/>
              </w:rPr>
              <w:t xml:space="preserve">ě </w:t>
            </w:r>
            <w:r>
              <w:rPr>
                <w:rFonts w:ascii="Helvetica" w:hAnsi="Helvetica" w:cs="Helvetica"/>
                <w:sz w:val="20"/>
                <w:szCs w:val="20"/>
              </w:rPr>
              <w:t>zpracovávaných prognostických studií a scéná</w:t>
            </w:r>
            <w:r>
              <w:rPr>
                <w:rFonts w:ascii="Arial-OneByteIdentityH" w:hAnsi="Arial-OneByteIdentityH" w:cs="Arial-OneByteIdentityH"/>
                <w:sz w:val="20"/>
                <w:szCs w:val="20"/>
              </w:rPr>
              <w:t xml:space="preserve">řů </w:t>
            </w:r>
            <w:r>
              <w:rPr>
                <w:rFonts w:ascii="Helvetica" w:hAnsi="Helvetica" w:cs="Helvetica"/>
                <w:sz w:val="20"/>
                <w:szCs w:val="20"/>
              </w:rPr>
              <w:t>a dalších efektivních nástroj</w:t>
            </w:r>
            <w:r>
              <w:rPr>
                <w:rFonts w:ascii="Arial-OneByteIdentityH" w:hAnsi="Arial-OneByteIdentityH" w:cs="Arial-OneByteIdentityH"/>
                <w:sz w:val="20"/>
                <w:szCs w:val="20"/>
              </w:rPr>
              <w:t xml:space="preserve">ů </w:t>
            </w:r>
            <w:r>
              <w:rPr>
                <w:rFonts w:ascii="Helvetica" w:hAnsi="Helvetica" w:cs="Helvetica"/>
                <w:sz w:val="20"/>
                <w:szCs w:val="20"/>
              </w:rPr>
              <w:t>systematického vyhodnocování pro ú</w:t>
            </w:r>
            <w:r>
              <w:rPr>
                <w:rFonts w:ascii="Arial-OneByteIdentityH" w:hAnsi="Arial-OneByteIdentityH" w:cs="Arial-OneByteIdentityH"/>
                <w:sz w:val="20"/>
                <w:szCs w:val="20"/>
              </w:rPr>
              <w:t>č</w:t>
            </w:r>
            <w:r>
              <w:rPr>
                <w:rFonts w:ascii="Helvetica" w:hAnsi="Helvetica" w:cs="Helvetica"/>
                <w:sz w:val="20"/>
                <w:szCs w:val="20"/>
              </w:rPr>
              <w:t>ely podpory strategického rozhodování.</w:t>
            </w:r>
          </w:p>
        </w:tc>
        <w:tc>
          <w:tcPr>
            <w:tcW w:w="675"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A82064">
        <w:tc>
          <w:tcPr>
            <w:tcW w:w="419"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6</w:t>
            </w:r>
          </w:p>
        </w:tc>
        <w:tc>
          <w:tcPr>
            <w:tcW w:w="1629"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Management bezpečnostních informací</w:t>
            </w:r>
          </w:p>
        </w:tc>
        <w:tc>
          <w:tcPr>
            <w:tcW w:w="6025" w:type="dxa"/>
            <w:tcBorders>
              <w:top w:val="single" w:sz="4" w:space="0" w:color="auto"/>
              <w:left w:val="single" w:sz="4" w:space="0" w:color="auto"/>
              <w:bottom w:val="single" w:sz="4" w:space="0" w:color="auto"/>
              <w:right w:val="single" w:sz="4" w:space="0" w:color="auto"/>
            </w:tcBorders>
            <w:hideMark/>
          </w:tcPr>
          <w:p w:rsidR="00A82064" w:rsidRDefault="00A82064" w:rsidP="00A82064">
            <w:pPr>
              <w:autoSpaceDE w:val="0"/>
              <w:autoSpaceDN w:val="0"/>
              <w:adjustRightInd w:val="0"/>
              <w:spacing w:after="0" w:line="240" w:lineRule="auto"/>
              <w:jc w:val="both"/>
              <w:rPr>
                <w:rFonts w:ascii="Helvetica" w:hAnsi="Helvetica" w:cs="Helvetica"/>
                <w:sz w:val="20"/>
                <w:szCs w:val="20"/>
              </w:rPr>
            </w:pPr>
            <w:r>
              <w:rPr>
                <w:rFonts w:ascii="Helvetica" w:hAnsi="Helvetica" w:cs="Helvetica"/>
                <w:sz w:val="20"/>
                <w:szCs w:val="20"/>
              </w:rPr>
              <w:t>Zajistit pro taktické, opera</w:t>
            </w:r>
            <w:r>
              <w:rPr>
                <w:rFonts w:ascii="Arial-OneByteIdentityH" w:hAnsi="Arial-OneByteIdentityH" w:cs="Arial-OneByteIdentityH"/>
                <w:sz w:val="20"/>
                <w:szCs w:val="20"/>
              </w:rPr>
              <w:t>č</w:t>
            </w:r>
            <w:r>
              <w:rPr>
                <w:rFonts w:ascii="Helvetica" w:hAnsi="Helvetica" w:cs="Helvetica"/>
                <w:sz w:val="20"/>
                <w:szCs w:val="20"/>
              </w:rPr>
              <w:t xml:space="preserve">ní i strategické </w:t>
            </w:r>
            <w:r>
              <w:rPr>
                <w:rFonts w:ascii="Arial-OneByteIdentityH" w:hAnsi="Arial-OneByteIdentityH" w:cs="Arial-OneByteIdentityH"/>
                <w:sz w:val="20"/>
                <w:szCs w:val="20"/>
              </w:rPr>
              <w:t>č</w:t>
            </w:r>
            <w:r>
              <w:rPr>
                <w:rFonts w:ascii="Helvetica" w:hAnsi="Helvetica" w:cs="Helvetica"/>
                <w:sz w:val="20"/>
                <w:szCs w:val="20"/>
              </w:rPr>
              <w:t>innosti interoperabilní technologie získávání, t</w:t>
            </w:r>
            <w:r>
              <w:rPr>
                <w:rFonts w:ascii="Arial-OneByteIdentityH" w:hAnsi="Arial-OneByteIdentityH" w:cs="Arial-OneByteIdentityH"/>
                <w:sz w:val="20"/>
                <w:szCs w:val="20"/>
              </w:rPr>
              <w:t>ř</w:t>
            </w:r>
            <w:r>
              <w:rPr>
                <w:rFonts w:ascii="Helvetica" w:hAnsi="Helvetica" w:cs="Helvetica"/>
                <w:sz w:val="20"/>
                <w:szCs w:val="20"/>
              </w:rPr>
              <w:t>íd</w:t>
            </w:r>
            <w:r>
              <w:rPr>
                <w:rFonts w:ascii="Arial-OneByteIdentityH" w:hAnsi="Arial-OneByteIdentityH" w:cs="Arial-OneByteIdentityH"/>
                <w:sz w:val="20"/>
                <w:szCs w:val="20"/>
              </w:rPr>
              <w:t>ě</w:t>
            </w:r>
            <w:r>
              <w:rPr>
                <w:rFonts w:ascii="Helvetica" w:hAnsi="Helvetica" w:cs="Helvetica"/>
                <w:sz w:val="20"/>
                <w:szCs w:val="20"/>
              </w:rPr>
              <w:t>ní, ukládání, analýzy, zp</w:t>
            </w:r>
            <w:r>
              <w:rPr>
                <w:rFonts w:ascii="Arial-OneByteIdentityH" w:hAnsi="Arial-OneByteIdentityH" w:cs="Arial-OneByteIdentityH"/>
                <w:sz w:val="20"/>
                <w:szCs w:val="20"/>
              </w:rPr>
              <w:t>ř</w:t>
            </w:r>
            <w:r>
              <w:rPr>
                <w:rFonts w:ascii="Helvetica" w:hAnsi="Helvetica" w:cs="Helvetica"/>
                <w:sz w:val="20"/>
                <w:szCs w:val="20"/>
              </w:rPr>
              <w:t>ístupn</w:t>
            </w:r>
            <w:r>
              <w:rPr>
                <w:rFonts w:ascii="Arial-OneByteIdentityH" w:hAnsi="Arial-OneByteIdentityH" w:cs="Arial-OneByteIdentityH"/>
                <w:sz w:val="20"/>
                <w:szCs w:val="20"/>
              </w:rPr>
              <w:t>ě</w:t>
            </w:r>
            <w:r>
              <w:rPr>
                <w:rFonts w:ascii="Helvetica" w:hAnsi="Helvetica" w:cs="Helvetica"/>
                <w:sz w:val="20"/>
                <w:szCs w:val="20"/>
              </w:rPr>
              <w:t>ní a zabezpe</w:t>
            </w:r>
            <w:r>
              <w:rPr>
                <w:rFonts w:ascii="Arial-OneByteIdentityH" w:hAnsi="Arial-OneByteIdentityH" w:cs="Arial-OneByteIdentityH"/>
                <w:sz w:val="20"/>
                <w:szCs w:val="20"/>
              </w:rPr>
              <w:t>č</w:t>
            </w:r>
            <w:r>
              <w:rPr>
                <w:rFonts w:ascii="Helvetica" w:hAnsi="Helvetica" w:cs="Helvetica"/>
                <w:sz w:val="20"/>
                <w:szCs w:val="20"/>
              </w:rPr>
              <w:t>ení informací a znalostí z plného spektra zdroj</w:t>
            </w:r>
            <w:r>
              <w:rPr>
                <w:rFonts w:ascii="Arial-OneByteIdentityH" w:hAnsi="Arial-OneByteIdentityH" w:cs="Arial-OneByteIdentityH"/>
                <w:sz w:val="20"/>
                <w:szCs w:val="20"/>
              </w:rPr>
              <w:t>ů</w:t>
            </w:r>
            <w:r>
              <w:rPr>
                <w:rFonts w:ascii="Helvetica" w:hAnsi="Helvetica" w:cs="Helvetica"/>
                <w:sz w:val="20"/>
                <w:szCs w:val="20"/>
              </w:rPr>
              <w:t>, dále navazující informa</w:t>
            </w:r>
            <w:r>
              <w:rPr>
                <w:rFonts w:ascii="Arial-OneByteIdentityH" w:hAnsi="Arial-OneByteIdentityH" w:cs="Arial-OneByteIdentityH"/>
                <w:sz w:val="20"/>
                <w:szCs w:val="20"/>
              </w:rPr>
              <w:t>č</w:t>
            </w:r>
            <w:r>
              <w:rPr>
                <w:rFonts w:ascii="Helvetica" w:hAnsi="Helvetica" w:cs="Helvetica"/>
                <w:sz w:val="20"/>
                <w:szCs w:val="20"/>
              </w:rPr>
              <w:t>ní a aplikované technologie pro efektivní využití informací a znalostí pro ú</w:t>
            </w:r>
            <w:r>
              <w:rPr>
                <w:rFonts w:ascii="Arial-OneByteIdentityH" w:hAnsi="Arial-OneByteIdentityH" w:cs="Arial-OneByteIdentityH"/>
                <w:sz w:val="20"/>
                <w:szCs w:val="20"/>
              </w:rPr>
              <w:t>č</w:t>
            </w:r>
            <w:r>
              <w:rPr>
                <w:rFonts w:ascii="Helvetica" w:hAnsi="Helvetica" w:cs="Helvetica"/>
                <w:sz w:val="20"/>
                <w:szCs w:val="20"/>
              </w:rPr>
              <w:t>innou prevenci hrozeb a p</w:t>
            </w:r>
            <w:r>
              <w:rPr>
                <w:rFonts w:ascii="Arial-OneByteIdentityH" w:hAnsi="Arial-OneByteIdentityH" w:cs="Arial-OneByteIdentityH"/>
                <w:sz w:val="20"/>
                <w:szCs w:val="20"/>
              </w:rPr>
              <w:t>ř</w:t>
            </w:r>
            <w:r>
              <w:rPr>
                <w:rFonts w:ascii="Helvetica" w:hAnsi="Helvetica" w:cs="Helvetica"/>
                <w:sz w:val="20"/>
                <w:szCs w:val="20"/>
              </w:rPr>
              <w:t>ípadnou odezvu v</w:t>
            </w:r>
            <w:r>
              <w:rPr>
                <w:rFonts w:ascii="Arial-OneByteIdentityH" w:hAnsi="Arial-OneByteIdentityH" w:cs="Arial-OneByteIdentityH"/>
                <w:sz w:val="20"/>
                <w:szCs w:val="20"/>
              </w:rPr>
              <w:t>č</w:t>
            </w:r>
            <w:r>
              <w:rPr>
                <w:rFonts w:ascii="Helvetica" w:hAnsi="Helvetica" w:cs="Helvetica"/>
                <w:sz w:val="20"/>
                <w:szCs w:val="20"/>
              </w:rPr>
              <w:t>etn</w:t>
            </w:r>
            <w:r>
              <w:rPr>
                <w:rFonts w:ascii="Arial-OneByteIdentityH" w:hAnsi="Arial-OneByteIdentityH" w:cs="Arial-OneByteIdentityH"/>
                <w:sz w:val="20"/>
                <w:szCs w:val="20"/>
              </w:rPr>
              <w:t xml:space="preserve">ě </w:t>
            </w:r>
            <w:r>
              <w:rPr>
                <w:rFonts w:ascii="Helvetica" w:hAnsi="Helvetica" w:cs="Helvetica"/>
                <w:sz w:val="20"/>
                <w:szCs w:val="20"/>
              </w:rPr>
              <w:t xml:space="preserve">nouzového </w:t>
            </w:r>
            <w:r>
              <w:rPr>
                <w:rFonts w:ascii="Arial-OneByteIdentityH" w:hAnsi="Arial-OneByteIdentityH" w:cs="Arial-OneByteIdentityH"/>
                <w:sz w:val="20"/>
                <w:szCs w:val="20"/>
              </w:rPr>
              <w:t>ř</w:t>
            </w:r>
            <w:r>
              <w:rPr>
                <w:rFonts w:ascii="Helvetica" w:hAnsi="Helvetica" w:cs="Helvetica"/>
                <w:sz w:val="20"/>
                <w:szCs w:val="20"/>
              </w:rPr>
              <w:t>ízení a následné obnovy.</w:t>
            </w:r>
          </w:p>
        </w:tc>
        <w:tc>
          <w:tcPr>
            <w:tcW w:w="675"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A82064">
        <w:tc>
          <w:tcPr>
            <w:tcW w:w="419"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7</w:t>
            </w:r>
          </w:p>
        </w:tc>
        <w:tc>
          <w:tcPr>
            <w:tcW w:w="1629"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Specifická bezpečnostní legislativa</w:t>
            </w:r>
          </w:p>
        </w:tc>
        <w:tc>
          <w:tcPr>
            <w:tcW w:w="6025" w:type="dxa"/>
            <w:tcBorders>
              <w:top w:val="single" w:sz="4" w:space="0" w:color="auto"/>
              <w:left w:val="single" w:sz="4" w:space="0" w:color="auto"/>
              <w:bottom w:val="single" w:sz="4" w:space="0" w:color="auto"/>
              <w:right w:val="single" w:sz="4" w:space="0" w:color="auto"/>
            </w:tcBorders>
            <w:hideMark/>
          </w:tcPr>
          <w:p w:rsidR="00A82064" w:rsidRDefault="00A82064" w:rsidP="00A82064">
            <w:pPr>
              <w:autoSpaceDE w:val="0"/>
              <w:autoSpaceDN w:val="0"/>
              <w:adjustRightInd w:val="0"/>
              <w:spacing w:after="0" w:line="240" w:lineRule="auto"/>
              <w:jc w:val="both"/>
              <w:rPr>
                <w:rFonts w:ascii="Helvetica" w:hAnsi="Helvetica" w:cs="Helvetica"/>
                <w:sz w:val="20"/>
                <w:szCs w:val="20"/>
              </w:rPr>
            </w:pPr>
            <w:r>
              <w:rPr>
                <w:rFonts w:ascii="Helvetica" w:hAnsi="Helvetica" w:cs="Helvetica"/>
                <w:sz w:val="20"/>
                <w:szCs w:val="20"/>
              </w:rPr>
              <w:t>Rozvinout legislativní postupy a navrhovaná legislativní opat</w:t>
            </w:r>
            <w:r>
              <w:rPr>
                <w:rFonts w:ascii="Arial-OneByteIdentityH" w:hAnsi="Arial-OneByteIdentityH" w:cs="Arial-OneByteIdentityH"/>
                <w:sz w:val="20"/>
                <w:szCs w:val="20"/>
              </w:rPr>
              <w:t>ř</w:t>
            </w:r>
            <w:r>
              <w:rPr>
                <w:rFonts w:ascii="Helvetica" w:hAnsi="Helvetica" w:cs="Helvetica"/>
                <w:sz w:val="20"/>
                <w:szCs w:val="20"/>
              </w:rPr>
              <w:t>ení tak, aby legislativní rámec vytvá</w:t>
            </w:r>
            <w:r>
              <w:rPr>
                <w:rFonts w:ascii="Arial-OneByteIdentityH" w:hAnsi="Arial-OneByteIdentityH" w:cs="Arial-OneByteIdentityH"/>
                <w:sz w:val="20"/>
                <w:szCs w:val="20"/>
              </w:rPr>
              <w:t>ř</w:t>
            </w:r>
            <w:r>
              <w:rPr>
                <w:rFonts w:ascii="Helvetica" w:hAnsi="Helvetica" w:cs="Helvetica"/>
                <w:sz w:val="20"/>
                <w:szCs w:val="20"/>
              </w:rPr>
              <w:t xml:space="preserve">el komplexní prostor pro efektivní </w:t>
            </w:r>
            <w:r>
              <w:rPr>
                <w:rFonts w:ascii="Arial-OneByteIdentityH" w:hAnsi="Arial-OneByteIdentityH" w:cs="Arial-OneByteIdentityH"/>
                <w:sz w:val="20"/>
                <w:szCs w:val="20"/>
              </w:rPr>
              <w:t>č</w:t>
            </w:r>
            <w:r>
              <w:rPr>
                <w:rFonts w:ascii="Helvetica" w:hAnsi="Helvetica" w:cs="Helvetica"/>
                <w:sz w:val="20"/>
                <w:szCs w:val="20"/>
              </w:rPr>
              <w:t>innost p</w:t>
            </w:r>
            <w:r>
              <w:rPr>
                <w:rFonts w:ascii="Arial-OneByteIdentityH" w:hAnsi="Arial-OneByteIdentityH" w:cs="Arial-OneByteIdentityH"/>
                <w:sz w:val="20"/>
                <w:szCs w:val="20"/>
              </w:rPr>
              <w:t>ř</w:t>
            </w:r>
            <w:r>
              <w:rPr>
                <w:rFonts w:ascii="Helvetica" w:hAnsi="Helvetica" w:cs="Helvetica"/>
                <w:sz w:val="20"/>
                <w:szCs w:val="20"/>
              </w:rPr>
              <w:t>íslušných orgán</w:t>
            </w:r>
            <w:r>
              <w:rPr>
                <w:rFonts w:ascii="Arial-OneByteIdentityH" w:hAnsi="Arial-OneByteIdentityH" w:cs="Arial-OneByteIdentityH"/>
                <w:sz w:val="20"/>
                <w:szCs w:val="20"/>
              </w:rPr>
              <w:t xml:space="preserve">ů </w:t>
            </w:r>
            <w:r>
              <w:rPr>
                <w:rFonts w:ascii="Helvetica" w:hAnsi="Helvetica" w:cs="Helvetica"/>
                <w:sz w:val="20"/>
                <w:szCs w:val="20"/>
              </w:rPr>
              <w:t>a složek, aby dynamicky reagoval na nov</w:t>
            </w:r>
            <w:r>
              <w:rPr>
                <w:rFonts w:ascii="Arial-OneByteIdentityH" w:hAnsi="Arial-OneByteIdentityH" w:cs="Arial-OneByteIdentityH"/>
                <w:sz w:val="20"/>
                <w:szCs w:val="20"/>
              </w:rPr>
              <w:t xml:space="preserve">ě </w:t>
            </w:r>
            <w:r>
              <w:rPr>
                <w:rFonts w:ascii="Helvetica" w:hAnsi="Helvetica" w:cs="Helvetica"/>
                <w:sz w:val="20"/>
                <w:szCs w:val="20"/>
              </w:rPr>
              <w:t>vznikající pot</w:t>
            </w:r>
            <w:r>
              <w:rPr>
                <w:rFonts w:ascii="Arial-OneByteIdentityH" w:hAnsi="Arial-OneByteIdentityH" w:cs="Arial-OneByteIdentityH"/>
                <w:sz w:val="20"/>
                <w:szCs w:val="20"/>
              </w:rPr>
              <w:t>ř</w:t>
            </w:r>
            <w:r>
              <w:rPr>
                <w:rFonts w:ascii="Helvetica" w:hAnsi="Helvetica" w:cs="Helvetica"/>
                <w:sz w:val="20"/>
                <w:szCs w:val="20"/>
              </w:rPr>
              <w:t>eby bezpe</w:t>
            </w:r>
            <w:r>
              <w:rPr>
                <w:rFonts w:ascii="Arial-OneByteIdentityH" w:hAnsi="Arial-OneByteIdentityH" w:cs="Arial-OneByteIdentityH"/>
                <w:sz w:val="20"/>
                <w:szCs w:val="20"/>
              </w:rPr>
              <w:t>č</w:t>
            </w:r>
            <w:r>
              <w:rPr>
                <w:rFonts w:ascii="Helvetica" w:hAnsi="Helvetica" w:cs="Helvetica"/>
                <w:sz w:val="20"/>
                <w:szCs w:val="20"/>
              </w:rPr>
              <w:t xml:space="preserve">nostního systému </w:t>
            </w:r>
            <w:r>
              <w:rPr>
                <w:rFonts w:ascii="Arial-OneByteIdentityH" w:hAnsi="Arial-OneByteIdentityH" w:cs="Arial-OneByteIdentityH"/>
                <w:sz w:val="20"/>
                <w:szCs w:val="20"/>
              </w:rPr>
              <w:t>Č</w:t>
            </w:r>
            <w:r>
              <w:rPr>
                <w:rFonts w:ascii="Helvetica" w:hAnsi="Helvetica" w:cs="Helvetica"/>
                <w:sz w:val="20"/>
                <w:szCs w:val="20"/>
              </w:rPr>
              <w:t>R a umož</w:t>
            </w:r>
            <w:r>
              <w:rPr>
                <w:rFonts w:ascii="Arial-OneByteIdentityH" w:hAnsi="Arial-OneByteIdentityH" w:cs="Arial-OneByteIdentityH"/>
                <w:sz w:val="20"/>
                <w:szCs w:val="20"/>
              </w:rPr>
              <w:t>ň</w:t>
            </w:r>
            <w:r>
              <w:rPr>
                <w:rFonts w:ascii="Helvetica" w:hAnsi="Helvetica" w:cs="Helvetica"/>
                <w:sz w:val="20"/>
                <w:szCs w:val="20"/>
              </w:rPr>
              <w:t>oval efektivní pln</w:t>
            </w:r>
            <w:r>
              <w:rPr>
                <w:rFonts w:ascii="Arial-OneByteIdentityH" w:hAnsi="Arial-OneByteIdentityH" w:cs="Arial-OneByteIdentityH"/>
                <w:sz w:val="20"/>
                <w:szCs w:val="20"/>
              </w:rPr>
              <w:t>ě</w:t>
            </w:r>
            <w:r>
              <w:rPr>
                <w:rFonts w:ascii="Helvetica" w:hAnsi="Helvetica" w:cs="Helvetica"/>
                <w:sz w:val="20"/>
                <w:szCs w:val="20"/>
              </w:rPr>
              <w:t>ní všech úkol</w:t>
            </w:r>
            <w:r>
              <w:rPr>
                <w:rFonts w:ascii="Arial-OneByteIdentityH" w:hAnsi="Arial-OneByteIdentityH" w:cs="Arial-OneByteIdentityH"/>
                <w:sz w:val="20"/>
                <w:szCs w:val="20"/>
              </w:rPr>
              <w:t xml:space="preserve">ů </w:t>
            </w:r>
            <w:r>
              <w:rPr>
                <w:rFonts w:ascii="Helvetica" w:hAnsi="Helvetica" w:cs="Helvetica"/>
                <w:sz w:val="20"/>
                <w:szCs w:val="20"/>
              </w:rPr>
              <w:t>orgán</w:t>
            </w:r>
            <w:r>
              <w:rPr>
                <w:rFonts w:ascii="Arial-OneByteIdentityH" w:hAnsi="Arial-OneByteIdentityH" w:cs="Arial-OneByteIdentityH"/>
                <w:sz w:val="20"/>
                <w:szCs w:val="20"/>
              </w:rPr>
              <w:t xml:space="preserve">ů </w:t>
            </w:r>
            <w:r>
              <w:rPr>
                <w:rFonts w:ascii="Helvetica" w:hAnsi="Helvetica" w:cs="Helvetica"/>
                <w:sz w:val="20"/>
                <w:szCs w:val="20"/>
              </w:rPr>
              <w:t>státní správy v oblasti zajiš</w:t>
            </w:r>
            <w:r>
              <w:rPr>
                <w:rFonts w:ascii="Arial-OneByteIdentityH" w:hAnsi="Arial-OneByteIdentityH" w:cs="Arial-OneByteIdentityH"/>
                <w:sz w:val="20"/>
                <w:szCs w:val="20"/>
              </w:rPr>
              <w:t>ť</w:t>
            </w:r>
            <w:r>
              <w:rPr>
                <w:rFonts w:ascii="Helvetica" w:hAnsi="Helvetica" w:cs="Helvetica"/>
                <w:sz w:val="20"/>
                <w:szCs w:val="20"/>
              </w:rPr>
              <w:t>ování bezpe</w:t>
            </w:r>
            <w:r>
              <w:rPr>
                <w:rFonts w:ascii="Arial-OneByteIdentityH" w:hAnsi="Arial-OneByteIdentityH" w:cs="Arial-OneByteIdentityH"/>
                <w:sz w:val="20"/>
                <w:szCs w:val="20"/>
              </w:rPr>
              <w:t>č</w:t>
            </w:r>
            <w:r>
              <w:rPr>
                <w:rFonts w:ascii="Helvetica" w:hAnsi="Helvetica" w:cs="Helvetica"/>
                <w:sz w:val="20"/>
                <w:szCs w:val="20"/>
              </w:rPr>
              <w:t>nosti a ochrany obyvatelstva.</w:t>
            </w:r>
          </w:p>
        </w:tc>
        <w:tc>
          <w:tcPr>
            <w:tcW w:w="675"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bl>
    <w:p w:rsidR="00A82064" w:rsidRDefault="00A82064" w:rsidP="00A82064">
      <w:pPr>
        <w:spacing w:after="0" w:line="240" w:lineRule="auto"/>
        <w:ind w:left="540"/>
        <w:jc w:val="both"/>
        <w:rPr>
          <w:rFonts w:ascii="Arial" w:hAnsi="Arial" w:cs="Arial"/>
          <w:b/>
        </w:rPr>
      </w:pPr>
    </w:p>
    <w:p w:rsidR="00A82064" w:rsidRDefault="00A82064" w:rsidP="00A82064">
      <w:pPr>
        <w:spacing w:after="0" w:line="240" w:lineRule="auto"/>
        <w:ind w:left="540"/>
        <w:jc w:val="both"/>
        <w:rPr>
          <w:rFonts w:ascii="Arial" w:hAnsi="Arial" w:cs="Arial"/>
          <w:b/>
        </w:rPr>
      </w:pPr>
    </w:p>
    <w:p w:rsidR="00A82064" w:rsidRDefault="00A82064" w:rsidP="00A82064">
      <w:pPr>
        <w:numPr>
          <w:ilvl w:val="0"/>
          <w:numId w:val="20"/>
        </w:numPr>
        <w:tabs>
          <w:tab w:val="num" w:pos="540"/>
        </w:tabs>
        <w:spacing w:after="0" w:line="240" w:lineRule="auto"/>
        <w:ind w:left="540" w:hanging="540"/>
        <w:jc w:val="both"/>
        <w:rPr>
          <w:rFonts w:ascii="Arial" w:hAnsi="Arial" w:cs="Arial"/>
          <w:b/>
        </w:rPr>
      </w:pPr>
      <w:r>
        <w:rPr>
          <w:rFonts w:ascii="Arial" w:hAnsi="Arial" w:cs="Arial"/>
          <w:b/>
        </w:rPr>
        <w:t>Charakter přínosu projektu</w:t>
      </w:r>
    </w:p>
    <w:p w:rsidR="00A82064" w:rsidRDefault="00A82064" w:rsidP="00A82064">
      <w:pPr>
        <w:spacing w:after="0" w:line="240" w:lineRule="auto"/>
        <w:ind w:left="540"/>
        <w:jc w:val="both"/>
        <w:rPr>
          <w:rFonts w:ascii="Arial" w:hAnsi="Arial" w:cs="Arial"/>
          <w:i/>
        </w:rPr>
      </w:pPr>
      <w:r>
        <w:rPr>
          <w:rFonts w:ascii="Arial" w:hAnsi="Arial" w:cs="Arial"/>
          <w:i/>
        </w:rPr>
        <w:t>Předkladatel označí právě jednu vhodnou možnost křížkem v posledním sloupci.</w:t>
      </w:r>
    </w:p>
    <w:p w:rsidR="00A82064" w:rsidRDefault="00A82064" w:rsidP="00A82064">
      <w:pPr>
        <w:spacing w:after="0" w:line="240" w:lineRule="auto"/>
        <w:ind w:left="540"/>
        <w:jc w:val="both"/>
        <w:rPr>
          <w:rFonts w:ascii="Arial" w:hAnsi="Arial" w:cs="Arial"/>
        </w:rPr>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2506"/>
        <w:gridCol w:w="4945"/>
        <w:gridCol w:w="655"/>
      </w:tblGrid>
      <w:tr w:rsidR="00A82064" w:rsidTr="00A82064">
        <w:tc>
          <w:tcPr>
            <w:tcW w:w="419" w:type="dxa"/>
            <w:tcBorders>
              <w:top w:val="single" w:sz="4" w:space="0" w:color="auto"/>
              <w:left w:val="single" w:sz="4" w:space="0" w:color="auto"/>
              <w:bottom w:val="single" w:sz="4" w:space="0" w:color="auto"/>
              <w:right w:val="single" w:sz="4" w:space="0" w:color="auto"/>
            </w:tcBorders>
            <w:vAlign w:val="center"/>
            <w:hideMark/>
          </w:tcPr>
          <w:p w:rsidR="00A82064" w:rsidRDefault="00A82064" w:rsidP="00A82064">
            <w:pPr>
              <w:spacing w:after="0" w:line="240" w:lineRule="auto"/>
              <w:jc w:val="center"/>
              <w:rPr>
                <w:rFonts w:ascii="Arial" w:hAnsi="Arial" w:cs="Arial"/>
                <w:sz w:val="20"/>
                <w:szCs w:val="20"/>
              </w:rPr>
            </w:pPr>
            <w:r>
              <w:rPr>
                <w:rFonts w:ascii="Arial" w:hAnsi="Arial" w:cs="Arial"/>
                <w:sz w:val="20"/>
                <w:szCs w:val="20"/>
              </w:rPr>
              <w:t>A</w:t>
            </w:r>
          </w:p>
        </w:tc>
        <w:tc>
          <w:tcPr>
            <w:tcW w:w="2551" w:type="dxa"/>
            <w:tcBorders>
              <w:top w:val="single" w:sz="4" w:space="0" w:color="auto"/>
              <w:left w:val="single" w:sz="4" w:space="0" w:color="auto"/>
              <w:bottom w:val="single" w:sz="4" w:space="0" w:color="auto"/>
              <w:right w:val="single" w:sz="4" w:space="0" w:color="auto"/>
            </w:tcBorders>
            <w:vAlign w:val="center"/>
            <w:hideMark/>
          </w:tcPr>
          <w:p w:rsidR="00A82064" w:rsidRDefault="00A82064" w:rsidP="00A82064">
            <w:pPr>
              <w:spacing w:after="0" w:line="240" w:lineRule="auto"/>
              <w:jc w:val="center"/>
              <w:rPr>
                <w:rFonts w:ascii="Arial" w:hAnsi="Arial" w:cs="Arial"/>
                <w:sz w:val="20"/>
                <w:szCs w:val="20"/>
              </w:rPr>
            </w:pPr>
            <w:r>
              <w:rPr>
                <w:rFonts w:ascii="Arial" w:hAnsi="Arial" w:cs="Arial"/>
                <w:sz w:val="20"/>
                <w:szCs w:val="20"/>
              </w:rPr>
              <w:t>výsledky rozšiřují portfolio služeb a schopností předkladatele</w:t>
            </w:r>
          </w:p>
        </w:tc>
        <w:tc>
          <w:tcPr>
            <w:tcW w:w="5103"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Předložená potřeba reaguje na nové hrozby, revoluční trendy v klasických hrozbách či rozvoj možností jejich řešení. Na základě realizace projektu a implementace výsledků se spektrum služeb a schopností uživatele rozšíří o zcela nové, nebo jeho realizace takové rozšíření přímo umožní.</w:t>
            </w:r>
          </w:p>
        </w:tc>
        <w:tc>
          <w:tcPr>
            <w:tcW w:w="675"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A82064">
        <w:tc>
          <w:tcPr>
            <w:tcW w:w="419" w:type="dxa"/>
            <w:tcBorders>
              <w:top w:val="single" w:sz="4" w:space="0" w:color="auto"/>
              <w:left w:val="single" w:sz="4" w:space="0" w:color="auto"/>
              <w:bottom w:val="single" w:sz="4" w:space="0" w:color="auto"/>
              <w:right w:val="single" w:sz="4" w:space="0" w:color="auto"/>
            </w:tcBorders>
            <w:vAlign w:val="center"/>
            <w:hideMark/>
          </w:tcPr>
          <w:p w:rsidR="00A82064" w:rsidRDefault="00A82064" w:rsidP="00A82064">
            <w:pPr>
              <w:spacing w:after="0" w:line="240" w:lineRule="auto"/>
              <w:jc w:val="center"/>
              <w:rPr>
                <w:rFonts w:ascii="Arial" w:hAnsi="Arial" w:cs="Arial"/>
                <w:sz w:val="20"/>
                <w:szCs w:val="20"/>
              </w:rPr>
            </w:pPr>
            <w:r>
              <w:rPr>
                <w:rFonts w:ascii="Arial" w:hAnsi="Arial" w:cs="Arial"/>
                <w:sz w:val="20"/>
                <w:szCs w:val="20"/>
              </w:rPr>
              <w:t>B</w:t>
            </w:r>
          </w:p>
        </w:tc>
        <w:tc>
          <w:tcPr>
            <w:tcW w:w="2551" w:type="dxa"/>
            <w:tcBorders>
              <w:top w:val="single" w:sz="4" w:space="0" w:color="auto"/>
              <w:left w:val="single" w:sz="4" w:space="0" w:color="auto"/>
              <w:bottom w:val="single" w:sz="4" w:space="0" w:color="auto"/>
              <w:right w:val="single" w:sz="4" w:space="0" w:color="auto"/>
            </w:tcBorders>
            <w:vAlign w:val="center"/>
            <w:hideMark/>
          </w:tcPr>
          <w:p w:rsidR="00A82064" w:rsidRDefault="00A82064" w:rsidP="00A82064">
            <w:pPr>
              <w:spacing w:after="0" w:line="240" w:lineRule="auto"/>
              <w:jc w:val="center"/>
              <w:rPr>
                <w:rFonts w:ascii="Arial" w:hAnsi="Arial" w:cs="Arial"/>
                <w:sz w:val="20"/>
                <w:szCs w:val="20"/>
              </w:rPr>
            </w:pPr>
            <w:r>
              <w:rPr>
                <w:rFonts w:ascii="Arial" w:hAnsi="Arial" w:cs="Arial"/>
                <w:sz w:val="20"/>
                <w:szCs w:val="20"/>
              </w:rPr>
              <w:t>výsledky zvyšují kvalitu existujících schopností a poskytovaných služeb</w:t>
            </w:r>
          </w:p>
        </w:tc>
        <w:tc>
          <w:tcPr>
            <w:tcW w:w="5103"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 xml:space="preserve">Potřeba reaguje na vývoj a trendy v technologiích nebo postupech užívaných v činnosti uživatele nebo v cílovém prostředí. Na základě realizace projektu a implementace výsledků dojde ke zvýšení kvality přesně definovaného parametru (např. rychlost, spolehlivost, dostupnost apod.) poskytovaných služeb nebo schopností.  </w:t>
            </w:r>
          </w:p>
        </w:tc>
        <w:tc>
          <w:tcPr>
            <w:tcW w:w="675"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A82064">
        <w:tc>
          <w:tcPr>
            <w:tcW w:w="419" w:type="dxa"/>
            <w:tcBorders>
              <w:top w:val="single" w:sz="4" w:space="0" w:color="auto"/>
              <w:left w:val="single" w:sz="4" w:space="0" w:color="auto"/>
              <w:bottom w:val="single" w:sz="4" w:space="0" w:color="auto"/>
              <w:right w:val="single" w:sz="4" w:space="0" w:color="auto"/>
            </w:tcBorders>
            <w:vAlign w:val="center"/>
            <w:hideMark/>
          </w:tcPr>
          <w:p w:rsidR="00A82064" w:rsidRDefault="00A82064" w:rsidP="00A82064">
            <w:pPr>
              <w:spacing w:after="0" w:line="240" w:lineRule="auto"/>
              <w:jc w:val="center"/>
              <w:rPr>
                <w:rFonts w:ascii="Arial" w:hAnsi="Arial" w:cs="Arial"/>
                <w:sz w:val="20"/>
                <w:szCs w:val="20"/>
              </w:rPr>
            </w:pPr>
            <w:r>
              <w:rPr>
                <w:rFonts w:ascii="Arial" w:hAnsi="Arial" w:cs="Arial"/>
                <w:sz w:val="20"/>
                <w:szCs w:val="20"/>
              </w:rPr>
              <w:t>C</w:t>
            </w:r>
          </w:p>
        </w:tc>
        <w:tc>
          <w:tcPr>
            <w:tcW w:w="2551" w:type="dxa"/>
            <w:tcBorders>
              <w:top w:val="single" w:sz="4" w:space="0" w:color="auto"/>
              <w:left w:val="single" w:sz="4" w:space="0" w:color="auto"/>
              <w:bottom w:val="single" w:sz="4" w:space="0" w:color="auto"/>
              <w:right w:val="single" w:sz="4" w:space="0" w:color="auto"/>
            </w:tcBorders>
            <w:vAlign w:val="center"/>
            <w:hideMark/>
          </w:tcPr>
          <w:p w:rsidR="00A82064" w:rsidRDefault="00A82064" w:rsidP="00A82064">
            <w:pPr>
              <w:spacing w:after="0" w:line="240" w:lineRule="auto"/>
              <w:jc w:val="center"/>
              <w:rPr>
                <w:rFonts w:ascii="Arial" w:hAnsi="Arial" w:cs="Arial"/>
                <w:sz w:val="20"/>
                <w:szCs w:val="20"/>
              </w:rPr>
            </w:pPr>
            <w:r>
              <w:rPr>
                <w:rFonts w:ascii="Arial" w:hAnsi="Arial" w:cs="Arial"/>
                <w:sz w:val="20"/>
                <w:szCs w:val="20"/>
              </w:rPr>
              <w:t>výsledky snižují zdrojovou náročnost existujících schopností a služeb a jejich poskytování při zachování současné kvality služby</w:t>
            </w:r>
          </w:p>
        </w:tc>
        <w:tc>
          <w:tcPr>
            <w:tcW w:w="5103"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Potřeba reaguje na trendy v technologiích nebo postupech užívaných v činnosti uživatele. Na základě realizace projektu a implementace výsledků dojde ke snížení přímé nebo nepřímé zdrojové náročnosti poskytování stávajících služeb nebo provozu schopností bez negativních dopadů na jejich šíři nebo kvalitu (např. výcvik, obsluha, provozní náklady, životní cyklus apod.).</w:t>
            </w:r>
          </w:p>
        </w:tc>
        <w:tc>
          <w:tcPr>
            <w:tcW w:w="675"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bl>
    <w:p w:rsidR="00A82064" w:rsidRDefault="00A82064" w:rsidP="00A82064">
      <w:pPr>
        <w:spacing w:after="0" w:line="240" w:lineRule="auto"/>
        <w:ind w:left="540"/>
        <w:jc w:val="both"/>
        <w:rPr>
          <w:rFonts w:ascii="Arial" w:hAnsi="Arial" w:cs="Arial"/>
          <w:b/>
        </w:rPr>
      </w:pPr>
    </w:p>
    <w:p w:rsidR="00A82064" w:rsidRDefault="00A82064" w:rsidP="00A82064">
      <w:pPr>
        <w:spacing w:after="0" w:line="240" w:lineRule="auto"/>
        <w:ind w:left="540"/>
        <w:jc w:val="both"/>
        <w:rPr>
          <w:rFonts w:ascii="Arial" w:hAnsi="Arial" w:cs="Arial"/>
          <w:b/>
        </w:rPr>
      </w:pPr>
    </w:p>
    <w:p w:rsidR="00A82064" w:rsidRDefault="00A82064" w:rsidP="00AE15B7">
      <w:pPr>
        <w:numPr>
          <w:ilvl w:val="0"/>
          <w:numId w:val="20"/>
        </w:numPr>
        <w:spacing w:after="0" w:line="240" w:lineRule="auto"/>
        <w:jc w:val="both"/>
        <w:rPr>
          <w:rFonts w:ascii="Arial" w:hAnsi="Arial" w:cs="Arial"/>
          <w:b/>
        </w:rPr>
      </w:pPr>
      <w:r>
        <w:rPr>
          <w:rFonts w:ascii="Arial" w:hAnsi="Arial" w:cs="Arial"/>
          <w:b/>
        </w:rPr>
        <w:lastRenderedPageBreak/>
        <w:t xml:space="preserve">Požadované výsledky projektu podle platné </w:t>
      </w:r>
      <w:r w:rsidR="00AE15B7" w:rsidRPr="00AE15B7">
        <w:rPr>
          <w:rFonts w:ascii="Arial" w:hAnsi="Arial" w:cs="Arial"/>
          <w:b/>
        </w:rPr>
        <w:t xml:space="preserve">Definice druhů výsledků dle </w:t>
      </w:r>
      <w:r w:rsidR="00346D87">
        <w:rPr>
          <w:rFonts w:ascii="Arial" w:hAnsi="Arial" w:cs="Arial"/>
          <w:b/>
        </w:rPr>
        <w:t xml:space="preserve">samostatné přílohy č. 4 </w:t>
      </w:r>
      <w:r w:rsidR="00AE15B7" w:rsidRPr="00AE15B7">
        <w:rPr>
          <w:rFonts w:ascii="Arial" w:hAnsi="Arial" w:cs="Arial"/>
          <w:b/>
        </w:rPr>
        <w:t>Metodiky hodnocení výzkumných organizací a programů účelové podpory výzkumu, vývoje a inovací schválené usnesením vlády dne 8. února 2017 č.</w:t>
      </w:r>
      <w:r w:rsidR="00AE15B7">
        <w:rPr>
          <w:rFonts w:ascii="Arial" w:hAnsi="Arial" w:cs="Arial"/>
          <w:b/>
        </w:rPr>
        <w:t> 107</w:t>
      </w:r>
      <w:r w:rsidR="00AE15B7" w:rsidRPr="00AE15B7">
        <w:rPr>
          <w:rFonts w:ascii="Arial" w:hAnsi="Arial" w:cs="Arial"/>
          <w:b/>
        </w:rPr>
        <w:t xml:space="preserve"> </w:t>
      </w:r>
    </w:p>
    <w:p w:rsidR="00A82064" w:rsidRDefault="00A82064" w:rsidP="00A82064">
      <w:pPr>
        <w:spacing w:after="0" w:line="240" w:lineRule="auto"/>
        <w:ind w:left="540"/>
        <w:jc w:val="both"/>
        <w:rPr>
          <w:rFonts w:ascii="Arial" w:hAnsi="Arial" w:cs="Arial"/>
          <w:i/>
        </w:rPr>
      </w:pPr>
      <w:r>
        <w:rPr>
          <w:rFonts w:ascii="Arial" w:hAnsi="Arial" w:cs="Arial"/>
          <w:i/>
        </w:rPr>
        <w:t>Předkladatel určí počet výsledků odpovídajících požadavkům podle jednotlivých typů v tabulce níže. Definice jednotlivých typů jsou závazné a neměnné</w:t>
      </w:r>
      <w:r w:rsidR="003D3EAB">
        <w:rPr>
          <w:rFonts w:ascii="Arial" w:hAnsi="Arial" w:cs="Arial"/>
          <w:i/>
        </w:rPr>
        <w:t xml:space="preserve"> (co není definovaným výsledkem viz samostatná příloha č. 4 Metodiky 2017+)</w:t>
      </w:r>
      <w:r>
        <w:rPr>
          <w:rFonts w:ascii="Arial" w:hAnsi="Arial" w:cs="Arial"/>
          <w:i/>
        </w:rPr>
        <w:t xml:space="preserve">. Požadovaný počet uveďte číslicí v posledním sloupci. </w:t>
      </w:r>
    </w:p>
    <w:p w:rsidR="00A82064" w:rsidRDefault="00A82064" w:rsidP="00A82064">
      <w:pPr>
        <w:spacing w:after="0" w:line="240" w:lineRule="auto"/>
        <w:ind w:left="540"/>
        <w:jc w:val="both"/>
        <w:rPr>
          <w:rFonts w:ascii="Arial" w:hAnsi="Arial" w:cs="Arial"/>
          <w:b/>
        </w:rPr>
      </w:pPr>
    </w:p>
    <w:tbl>
      <w:tblPr>
        <w:tblW w:w="874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1667"/>
        <w:gridCol w:w="5075"/>
        <w:gridCol w:w="816"/>
      </w:tblGrid>
      <w:tr w:rsidR="00A82064" w:rsidTr="003D3EAB">
        <w:tc>
          <w:tcPr>
            <w:tcW w:w="1190"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R</w:t>
            </w:r>
          </w:p>
        </w:tc>
        <w:tc>
          <w:tcPr>
            <w:tcW w:w="1667" w:type="dxa"/>
            <w:tcBorders>
              <w:top w:val="single" w:sz="4" w:space="0" w:color="auto"/>
              <w:left w:val="single" w:sz="4" w:space="0" w:color="auto"/>
              <w:bottom w:val="single" w:sz="4" w:space="0" w:color="auto"/>
              <w:right w:val="single" w:sz="4" w:space="0" w:color="auto"/>
            </w:tcBorders>
            <w:hideMark/>
          </w:tcPr>
          <w:p w:rsidR="00A82064" w:rsidRDefault="00A82064" w:rsidP="003D3EAB">
            <w:pPr>
              <w:spacing w:after="0" w:line="240" w:lineRule="auto"/>
              <w:rPr>
                <w:rFonts w:ascii="Arial" w:hAnsi="Arial" w:cs="Arial"/>
                <w:sz w:val="20"/>
                <w:szCs w:val="20"/>
              </w:rPr>
            </w:pPr>
            <w:r>
              <w:rPr>
                <w:rFonts w:ascii="Arial" w:hAnsi="Arial" w:cs="Arial"/>
                <w:sz w:val="20"/>
                <w:szCs w:val="20"/>
              </w:rPr>
              <w:t>Software</w:t>
            </w:r>
          </w:p>
        </w:tc>
        <w:tc>
          <w:tcPr>
            <w:tcW w:w="5075" w:type="dxa"/>
            <w:tcBorders>
              <w:top w:val="single" w:sz="4" w:space="0" w:color="auto"/>
              <w:left w:val="single" w:sz="4" w:space="0" w:color="auto"/>
              <w:bottom w:val="single" w:sz="4" w:space="0" w:color="auto"/>
              <w:right w:val="single" w:sz="4" w:space="0" w:color="auto"/>
            </w:tcBorders>
            <w:hideMark/>
          </w:tcPr>
          <w:p w:rsidR="00346D87" w:rsidRPr="00346D87" w:rsidRDefault="00346D87" w:rsidP="00346D87">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w:t>
            </w:r>
            <w:r w:rsidRPr="00346D87">
              <w:rPr>
                <w:rFonts w:ascii="Arial" w:hAnsi="Arial" w:cs="Arial"/>
                <w:color w:val="000000"/>
                <w:sz w:val="20"/>
                <w:szCs w:val="20"/>
              </w:rPr>
              <w:t>Software“ je program či soubor strojových instrukcí sloužící k zajištění chodu počítače nebo jiného hardwaru vč. strojů a zařízení a jejich interakci s okolím. Výsledek „software“ realizoval původní výsledky výzkumu a vývoje, které byly uskutečněny autorem nebo týmem, jehož byl autor členem. Podmínkou je novost a unikátnost návrhu softwaru, která je doložitelná technickou dokumentací výsledku. Software musí přinášet takový prvek novosti a pokroku do oblasti počítačových programů, které znamenají zvýšení objemu znalostí. Využití software pro novou aplikaci nebo k novému účelu však nemůže samo o sobě představovat takový pokrok.</w:t>
            </w:r>
          </w:p>
          <w:p w:rsidR="00346D87" w:rsidRPr="00346D87" w:rsidRDefault="00346D87" w:rsidP="00346D87">
            <w:pPr>
              <w:autoSpaceDE w:val="0"/>
              <w:autoSpaceDN w:val="0"/>
              <w:adjustRightInd w:val="0"/>
              <w:spacing w:after="0" w:line="240" w:lineRule="auto"/>
              <w:jc w:val="both"/>
              <w:rPr>
                <w:rFonts w:ascii="Arial" w:hAnsi="Arial" w:cs="Arial"/>
                <w:color w:val="000000"/>
                <w:sz w:val="20"/>
                <w:szCs w:val="20"/>
              </w:rPr>
            </w:pPr>
            <w:r w:rsidRPr="00346D87">
              <w:rPr>
                <w:rFonts w:ascii="Arial" w:hAnsi="Arial" w:cs="Arial"/>
                <w:b/>
                <w:bCs/>
                <w:color w:val="000000"/>
                <w:sz w:val="20"/>
                <w:szCs w:val="20"/>
              </w:rPr>
              <w:t>Software může být např.</w:t>
            </w:r>
          </w:p>
          <w:p w:rsidR="00346D87" w:rsidRPr="00346D87" w:rsidRDefault="00346D87" w:rsidP="00346D87">
            <w:pPr>
              <w:pStyle w:val="Odstavecseseznamem"/>
              <w:numPr>
                <w:ilvl w:val="0"/>
                <w:numId w:val="29"/>
              </w:numPr>
              <w:autoSpaceDE w:val="0"/>
              <w:autoSpaceDN w:val="0"/>
              <w:adjustRightInd w:val="0"/>
              <w:spacing w:after="0" w:line="240" w:lineRule="auto"/>
              <w:jc w:val="both"/>
              <w:rPr>
                <w:rFonts w:ascii="Arial" w:hAnsi="Arial" w:cs="Arial"/>
                <w:color w:val="000000"/>
                <w:sz w:val="20"/>
                <w:szCs w:val="20"/>
              </w:rPr>
            </w:pPr>
            <w:r w:rsidRPr="00346D87">
              <w:rPr>
                <w:rFonts w:ascii="Arial" w:hAnsi="Arial" w:cs="Arial"/>
                <w:color w:val="000000"/>
                <w:sz w:val="20"/>
                <w:szCs w:val="20"/>
              </w:rPr>
              <w:t>vývoj nových operačních systémů a jazyků;</w:t>
            </w:r>
          </w:p>
          <w:p w:rsidR="00346D87" w:rsidRPr="00346D87" w:rsidRDefault="00346D87" w:rsidP="00346D87">
            <w:pPr>
              <w:pStyle w:val="Odstavecseseznamem"/>
              <w:numPr>
                <w:ilvl w:val="0"/>
                <w:numId w:val="29"/>
              </w:numPr>
              <w:autoSpaceDE w:val="0"/>
              <w:autoSpaceDN w:val="0"/>
              <w:adjustRightInd w:val="0"/>
              <w:spacing w:after="0" w:line="240" w:lineRule="auto"/>
              <w:jc w:val="both"/>
              <w:rPr>
                <w:rFonts w:ascii="Arial" w:hAnsi="Arial" w:cs="Arial"/>
                <w:color w:val="000000"/>
                <w:sz w:val="20"/>
                <w:szCs w:val="20"/>
              </w:rPr>
            </w:pPr>
            <w:r w:rsidRPr="00346D87">
              <w:rPr>
                <w:rFonts w:ascii="Arial" w:hAnsi="Arial" w:cs="Arial"/>
                <w:color w:val="000000"/>
                <w:sz w:val="20"/>
                <w:szCs w:val="20"/>
              </w:rPr>
              <w:t>návrh a realizace vyhledávačů založených na původních technologiích;</w:t>
            </w:r>
          </w:p>
          <w:p w:rsidR="00346D87" w:rsidRPr="00346D87" w:rsidRDefault="00346D87" w:rsidP="00346D87">
            <w:pPr>
              <w:pStyle w:val="Odstavecseseznamem"/>
              <w:numPr>
                <w:ilvl w:val="0"/>
                <w:numId w:val="29"/>
              </w:numPr>
              <w:autoSpaceDE w:val="0"/>
              <w:autoSpaceDN w:val="0"/>
              <w:adjustRightInd w:val="0"/>
              <w:spacing w:after="0" w:line="240" w:lineRule="auto"/>
              <w:jc w:val="both"/>
              <w:rPr>
                <w:rFonts w:ascii="Arial" w:hAnsi="Arial" w:cs="Arial"/>
                <w:color w:val="000000"/>
                <w:sz w:val="20"/>
                <w:szCs w:val="20"/>
              </w:rPr>
            </w:pPr>
            <w:r w:rsidRPr="00346D87">
              <w:rPr>
                <w:rFonts w:ascii="Arial" w:hAnsi="Arial" w:cs="Arial"/>
                <w:color w:val="000000"/>
                <w:sz w:val="20"/>
                <w:szCs w:val="20"/>
              </w:rPr>
              <w:t>snaha o řešení konfliktů v rámci hardware nebo software založená a procesu transformace systému nebo sítě;</w:t>
            </w:r>
          </w:p>
          <w:p w:rsidR="00346D87" w:rsidRPr="00346D87" w:rsidRDefault="00346D87" w:rsidP="00346D87">
            <w:pPr>
              <w:pStyle w:val="Odstavecseseznamem"/>
              <w:numPr>
                <w:ilvl w:val="0"/>
                <w:numId w:val="29"/>
              </w:numPr>
              <w:autoSpaceDE w:val="0"/>
              <w:autoSpaceDN w:val="0"/>
              <w:adjustRightInd w:val="0"/>
              <w:spacing w:after="0" w:line="240" w:lineRule="auto"/>
              <w:jc w:val="both"/>
              <w:rPr>
                <w:rFonts w:ascii="Arial" w:hAnsi="Arial" w:cs="Arial"/>
                <w:color w:val="000000"/>
                <w:sz w:val="20"/>
                <w:szCs w:val="20"/>
              </w:rPr>
            </w:pPr>
            <w:r w:rsidRPr="00346D87">
              <w:rPr>
                <w:rFonts w:ascii="Arial" w:hAnsi="Arial" w:cs="Arial"/>
                <w:color w:val="000000"/>
                <w:sz w:val="20"/>
                <w:szCs w:val="20"/>
              </w:rPr>
              <w:t>vytváření nových nebo účinnějších algoritmů založených na nových technikách;</w:t>
            </w:r>
          </w:p>
          <w:p w:rsidR="00A82064" w:rsidRDefault="00346D87" w:rsidP="00346D87">
            <w:pPr>
              <w:pStyle w:val="Default"/>
              <w:jc w:val="both"/>
              <w:rPr>
                <w:rFonts w:ascii="Arial" w:hAnsi="Arial" w:cs="Arial"/>
                <w:sz w:val="20"/>
                <w:szCs w:val="20"/>
              </w:rPr>
            </w:pPr>
            <w:r w:rsidRPr="00346D87">
              <w:rPr>
                <w:rFonts w:ascii="Arial" w:hAnsi="Arial" w:cs="Arial"/>
                <w:sz w:val="20"/>
                <w:szCs w:val="20"/>
              </w:rPr>
              <w:t>vytváření nových a originálních systémů kódování nebo bezpečnostních technik</w:t>
            </w:r>
            <w:r w:rsidR="00A82064">
              <w:rPr>
                <w:rFonts w:ascii="Arial" w:hAnsi="Arial" w:cs="Arial"/>
                <w:sz w:val="20"/>
                <w:szCs w:val="20"/>
              </w:rPr>
              <w:t xml:space="preserve"> </w:t>
            </w:r>
          </w:p>
        </w:tc>
        <w:tc>
          <w:tcPr>
            <w:tcW w:w="816"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346D87" w:rsidTr="003D3EAB">
        <w:tc>
          <w:tcPr>
            <w:tcW w:w="1190" w:type="dxa"/>
            <w:tcBorders>
              <w:top w:val="single" w:sz="4" w:space="0" w:color="auto"/>
              <w:left w:val="single" w:sz="4" w:space="0" w:color="auto"/>
              <w:bottom w:val="single" w:sz="4" w:space="0" w:color="auto"/>
              <w:right w:val="single" w:sz="4" w:space="0" w:color="auto"/>
            </w:tcBorders>
          </w:tcPr>
          <w:p w:rsidR="00346D87" w:rsidRDefault="00346D87" w:rsidP="00A82064">
            <w:pPr>
              <w:spacing w:after="0" w:line="240" w:lineRule="auto"/>
              <w:jc w:val="both"/>
              <w:rPr>
                <w:rFonts w:ascii="Arial" w:hAnsi="Arial" w:cs="Arial"/>
                <w:sz w:val="20"/>
                <w:szCs w:val="20"/>
              </w:rPr>
            </w:pPr>
            <w:r>
              <w:rPr>
                <w:rFonts w:ascii="Arial" w:hAnsi="Arial" w:cs="Arial"/>
                <w:sz w:val="20"/>
                <w:szCs w:val="20"/>
              </w:rPr>
              <w:t>S</w:t>
            </w:r>
          </w:p>
        </w:tc>
        <w:tc>
          <w:tcPr>
            <w:tcW w:w="1667" w:type="dxa"/>
            <w:tcBorders>
              <w:top w:val="single" w:sz="4" w:space="0" w:color="auto"/>
              <w:left w:val="single" w:sz="4" w:space="0" w:color="auto"/>
              <w:bottom w:val="single" w:sz="4" w:space="0" w:color="auto"/>
              <w:right w:val="single" w:sz="4" w:space="0" w:color="auto"/>
            </w:tcBorders>
          </w:tcPr>
          <w:p w:rsidR="00346D87" w:rsidRPr="003D3EAB" w:rsidRDefault="00346D87" w:rsidP="003D3EAB">
            <w:pPr>
              <w:spacing w:after="0" w:line="240" w:lineRule="auto"/>
              <w:rPr>
                <w:rFonts w:ascii="Arial" w:hAnsi="Arial" w:cs="Arial"/>
                <w:sz w:val="20"/>
                <w:szCs w:val="20"/>
              </w:rPr>
            </w:pPr>
            <w:r w:rsidRPr="003D3EAB">
              <w:rPr>
                <w:rFonts w:ascii="Arial" w:hAnsi="Arial" w:cs="Arial"/>
                <w:sz w:val="20"/>
                <w:szCs w:val="20"/>
              </w:rPr>
              <w:t>Specializovaná veřejná databáze</w:t>
            </w:r>
          </w:p>
        </w:tc>
        <w:tc>
          <w:tcPr>
            <w:tcW w:w="5075" w:type="dxa"/>
            <w:tcBorders>
              <w:top w:val="single" w:sz="4" w:space="0" w:color="auto"/>
              <w:left w:val="single" w:sz="4" w:space="0" w:color="auto"/>
              <w:bottom w:val="single" w:sz="4" w:space="0" w:color="auto"/>
              <w:right w:val="single" w:sz="4" w:space="0" w:color="auto"/>
            </w:tcBorders>
          </w:tcPr>
          <w:p w:rsidR="00346D87" w:rsidRPr="00346D87" w:rsidRDefault="00346D87" w:rsidP="00A82064">
            <w:pPr>
              <w:pStyle w:val="Default"/>
              <w:jc w:val="both"/>
              <w:rPr>
                <w:rFonts w:ascii="Arial" w:hAnsi="Arial" w:cs="Arial"/>
                <w:sz w:val="20"/>
                <w:szCs w:val="20"/>
              </w:rPr>
            </w:pPr>
            <w:r w:rsidRPr="00346D87">
              <w:rPr>
                <w:rFonts w:ascii="Arial" w:hAnsi="Arial" w:cs="Arial"/>
                <w:sz w:val="20"/>
                <w:szCs w:val="20"/>
              </w:rPr>
              <w:t>Výsledek „Specializovaná veřejná databáze“ zahrnuje strukturované a veřejně přístupné údaje o původních výsledcích výzkumu a vývoje, členěné na základě realizovaného výzkumu a vývoje, který byl uskutečněn autorem nebo týmem, jehož byl autor členem. Umožnuje zpřístupňovat strukturované informace o jevu jako zdroji pro další výzkum či konečnému uživateli.</w:t>
            </w:r>
          </w:p>
        </w:tc>
        <w:tc>
          <w:tcPr>
            <w:tcW w:w="816" w:type="dxa"/>
            <w:tcBorders>
              <w:top w:val="single" w:sz="4" w:space="0" w:color="auto"/>
              <w:left w:val="single" w:sz="4" w:space="0" w:color="auto"/>
              <w:bottom w:val="single" w:sz="4" w:space="0" w:color="auto"/>
              <w:right w:val="single" w:sz="4" w:space="0" w:color="auto"/>
            </w:tcBorders>
          </w:tcPr>
          <w:p w:rsidR="00346D87" w:rsidRDefault="00346D87" w:rsidP="00A82064">
            <w:pPr>
              <w:spacing w:after="0" w:line="240" w:lineRule="auto"/>
              <w:jc w:val="both"/>
              <w:rPr>
                <w:rFonts w:ascii="Arial" w:hAnsi="Arial" w:cs="Arial"/>
                <w:sz w:val="20"/>
                <w:szCs w:val="20"/>
              </w:rPr>
            </w:pPr>
          </w:p>
        </w:tc>
      </w:tr>
      <w:tr w:rsidR="00A82064" w:rsidTr="003D3EAB">
        <w:tc>
          <w:tcPr>
            <w:tcW w:w="1190"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F</w:t>
            </w:r>
            <w:r>
              <w:rPr>
                <w:rFonts w:ascii="Arial" w:hAnsi="Arial" w:cs="Arial"/>
                <w:sz w:val="20"/>
                <w:szCs w:val="20"/>
                <w:vertAlign w:val="subscript"/>
              </w:rPr>
              <w:t>u</w:t>
            </w:r>
            <w:r w:rsidR="003D3EAB">
              <w:rPr>
                <w:rFonts w:ascii="Arial" w:hAnsi="Arial" w:cs="Arial"/>
                <w:sz w:val="20"/>
                <w:szCs w:val="20"/>
                <w:vertAlign w:val="subscript"/>
              </w:rPr>
              <w:t>zit</w:t>
            </w:r>
          </w:p>
        </w:tc>
        <w:tc>
          <w:tcPr>
            <w:tcW w:w="1667" w:type="dxa"/>
            <w:tcBorders>
              <w:top w:val="single" w:sz="4" w:space="0" w:color="auto"/>
              <w:left w:val="single" w:sz="4" w:space="0" w:color="auto"/>
              <w:bottom w:val="single" w:sz="4" w:space="0" w:color="auto"/>
              <w:right w:val="single" w:sz="4" w:space="0" w:color="auto"/>
            </w:tcBorders>
            <w:hideMark/>
          </w:tcPr>
          <w:p w:rsidR="00A82064" w:rsidRDefault="00A82064" w:rsidP="003D3EAB">
            <w:pPr>
              <w:spacing w:after="0" w:line="240" w:lineRule="auto"/>
              <w:rPr>
                <w:rFonts w:ascii="Arial" w:hAnsi="Arial" w:cs="Arial"/>
                <w:sz w:val="20"/>
                <w:szCs w:val="20"/>
              </w:rPr>
            </w:pPr>
            <w:r>
              <w:rPr>
                <w:rFonts w:ascii="Arial" w:hAnsi="Arial" w:cs="Arial"/>
                <w:sz w:val="20"/>
                <w:szCs w:val="20"/>
              </w:rPr>
              <w:t>Užitný vzor</w:t>
            </w:r>
          </w:p>
        </w:tc>
        <w:tc>
          <w:tcPr>
            <w:tcW w:w="5075" w:type="dxa"/>
            <w:tcBorders>
              <w:top w:val="single" w:sz="4" w:space="0" w:color="auto"/>
              <w:left w:val="single" w:sz="4" w:space="0" w:color="auto"/>
              <w:bottom w:val="single" w:sz="4" w:space="0" w:color="auto"/>
              <w:right w:val="single" w:sz="4" w:space="0" w:color="auto"/>
            </w:tcBorders>
            <w:hideMark/>
          </w:tcPr>
          <w:p w:rsidR="00A82064" w:rsidRDefault="00A82064" w:rsidP="00A82064">
            <w:pPr>
              <w:pStyle w:val="Default"/>
              <w:jc w:val="both"/>
              <w:rPr>
                <w:rFonts w:ascii="Arial" w:hAnsi="Arial" w:cs="Arial"/>
                <w:sz w:val="20"/>
                <w:szCs w:val="20"/>
              </w:rPr>
            </w:pPr>
            <w:r>
              <w:rPr>
                <w:rFonts w:ascii="Arial" w:hAnsi="Arial" w:cs="Arial"/>
                <w:sz w:val="20"/>
                <w:szCs w:val="20"/>
              </w:rPr>
              <w:t>Výsledek „Užitný vzor“ realizoval původní výsledky výzkumu a vývoje, které byly uskutečněny autorem nebo týmem, jehož byl autor členem. Užitným vzorem jsou technická řešení, která jsou nová, přesahují rámec pouhé odborné dovednosti a jsou průmyslově využitelná.</w:t>
            </w:r>
          </w:p>
          <w:p w:rsidR="00A82064" w:rsidRDefault="00A82064" w:rsidP="00A82064">
            <w:pPr>
              <w:pStyle w:val="Default"/>
              <w:jc w:val="both"/>
              <w:rPr>
                <w:rFonts w:ascii="Arial" w:hAnsi="Arial" w:cs="Arial"/>
                <w:sz w:val="20"/>
                <w:szCs w:val="20"/>
              </w:rPr>
            </w:pPr>
            <w:r>
              <w:rPr>
                <w:rFonts w:ascii="Arial" w:hAnsi="Arial" w:cs="Arial"/>
                <w:sz w:val="20"/>
                <w:szCs w:val="20"/>
              </w:rPr>
              <w:t xml:space="preserve">Za užitný vzor lze považovat pouze taková technická řešení, která jsou zapsána Úřadem průmyslového vlastnictví v rejstříku užitných vzorů. Podrobnosti o přihlášení, zápisu a době platnosti užitného vzoru stanovuje zákon č. 478/1992 Sb., o užitných vzorech, ve znění pozdějších předpisů. Protože Úřad průmyslového vlastnictví nezkoumá, zda užitný vzor byl z hlediska novosti, unikátnosti řešení a tvůrčí úrovně způsobilý k ochraně je podmínkou, aby užitný vzor byl na základě technického řešení průmyslově využitelný, tj. zda může být opakovaně využíván v hospodářské činnosti (viz ustanovení § 5 zákona č. 478/1992 Sb.). </w:t>
            </w:r>
          </w:p>
        </w:tc>
        <w:tc>
          <w:tcPr>
            <w:tcW w:w="816"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3D3EAB">
        <w:tc>
          <w:tcPr>
            <w:tcW w:w="1190"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lastRenderedPageBreak/>
              <w:t>F</w:t>
            </w:r>
            <w:r>
              <w:rPr>
                <w:rFonts w:ascii="Arial" w:hAnsi="Arial" w:cs="Arial"/>
                <w:sz w:val="20"/>
                <w:szCs w:val="20"/>
                <w:vertAlign w:val="subscript"/>
              </w:rPr>
              <w:t>p</w:t>
            </w:r>
            <w:r w:rsidR="003D3EAB">
              <w:rPr>
                <w:rFonts w:ascii="Arial" w:hAnsi="Arial" w:cs="Arial"/>
                <w:sz w:val="20"/>
                <w:szCs w:val="20"/>
                <w:vertAlign w:val="subscript"/>
              </w:rPr>
              <w:t>rum</w:t>
            </w:r>
          </w:p>
        </w:tc>
        <w:tc>
          <w:tcPr>
            <w:tcW w:w="1667" w:type="dxa"/>
            <w:tcBorders>
              <w:top w:val="single" w:sz="4" w:space="0" w:color="auto"/>
              <w:left w:val="single" w:sz="4" w:space="0" w:color="auto"/>
              <w:bottom w:val="single" w:sz="4" w:space="0" w:color="auto"/>
              <w:right w:val="single" w:sz="4" w:space="0" w:color="auto"/>
            </w:tcBorders>
            <w:hideMark/>
          </w:tcPr>
          <w:p w:rsidR="00A82064" w:rsidRDefault="00A82064" w:rsidP="003D3EAB">
            <w:pPr>
              <w:spacing w:after="0" w:line="240" w:lineRule="auto"/>
              <w:rPr>
                <w:rFonts w:ascii="Arial" w:hAnsi="Arial" w:cs="Arial"/>
                <w:sz w:val="20"/>
                <w:szCs w:val="20"/>
              </w:rPr>
            </w:pPr>
            <w:r>
              <w:rPr>
                <w:rFonts w:ascii="Arial" w:hAnsi="Arial" w:cs="Arial"/>
                <w:sz w:val="20"/>
                <w:szCs w:val="20"/>
              </w:rPr>
              <w:t>Průmyslový vzor</w:t>
            </w:r>
          </w:p>
        </w:tc>
        <w:tc>
          <w:tcPr>
            <w:tcW w:w="5075" w:type="dxa"/>
            <w:tcBorders>
              <w:top w:val="single" w:sz="4" w:space="0" w:color="auto"/>
              <w:left w:val="single" w:sz="4" w:space="0" w:color="auto"/>
              <w:bottom w:val="single" w:sz="4" w:space="0" w:color="auto"/>
              <w:right w:val="single" w:sz="4" w:space="0" w:color="auto"/>
            </w:tcBorders>
            <w:hideMark/>
          </w:tcPr>
          <w:p w:rsidR="00A82064" w:rsidRDefault="00A82064" w:rsidP="00A82064">
            <w:pPr>
              <w:pStyle w:val="Default"/>
              <w:jc w:val="both"/>
              <w:rPr>
                <w:rFonts w:ascii="Arial" w:hAnsi="Arial" w:cs="Arial"/>
                <w:sz w:val="20"/>
                <w:szCs w:val="20"/>
              </w:rPr>
            </w:pPr>
            <w:r>
              <w:rPr>
                <w:rFonts w:ascii="Arial" w:hAnsi="Arial" w:cs="Arial"/>
                <w:sz w:val="20"/>
                <w:szCs w:val="20"/>
              </w:rPr>
              <w:t xml:space="preserve">Výsledek „Průmyslový vzor“ realizoval původní výsledky výzkumu a vývoje, které byly uskutečněny autorem nebo týmem, jehož byl autor členem. Průmyslovým vzorem se rozumí vzhled výrobku, spočívající zejména ve znacích linií, obrysů, barev, tvaru, struktury nebo materiálů výrobku samotného, nebo jeho zdobení. Jde o designérská řešení, tj. o vizuálně vnímatelnou vlastnost výrobku, nikoliv např. o jeho technickou nebo konstrukční podstatu. Výrobkem je průmyslově nebo řemeslně vyrobený prostorový nebo plošný předmět, tj. průmyslově nebo řemeslně vyrobený předmět, včetně součástek určených k jeho sestavení do jednoho složeného výrobku, obal, úprava, grafický symbol a typografický znak. </w:t>
            </w:r>
          </w:p>
          <w:p w:rsidR="00A82064" w:rsidRDefault="00A82064" w:rsidP="00A82064">
            <w:pPr>
              <w:spacing w:after="0" w:line="240" w:lineRule="auto"/>
              <w:jc w:val="both"/>
              <w:rPr>
                <w:rFonts w:ascii="Arial" w:hAnsi="Arial" w:cs="Arial"/>
                <w:sz w:val="20"/>
                <w:szCs w:val="20"/>
              </w:rPr>
            </w:pPr>
            <w:r>
              <w:rPr>
                <w:rFonts w:ascii="Arial" w:hAnsi="Arial" w:cs="Arial"/>
                <w:sz w:val="20"/>
                <w:szCs w:val="20"/>
              </w:rPr>
              <w:t xml:space="preserve">Jedná se o výsledek, který požívá ochrany podle zákona č. 207/2000 Sb., o ochraně průmyslových vzorů a o změně zákona č. 527/1990 Sb., o vynálezech, průmyslových vzorech a zlepšovacích návrzích, ve znění pozdějších předpisů. </w:t>
            </w:r>
          </w:p>
        </w:tc>
        <w:tc>
          <w:tcPr>
            <w:tcW w:w="816"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3D3EAB">
        <w:tc>
          <w:tcPr>
            <w:tcW w:w="1190" w:type="dxa"/>
            <w:tcBorders>
              <w:top w:val="single" w:sz="4" w:space="0" w:color="auto"/>
              <w:left w:val="single" w:sz="4" w:space="0" w:color="auto"/>
              <w:bottom w:val="single" w:sz="4" w:space="0" w:color="auto"/>
              <w:right w:val="single" w:sz="4" w:space="0" w:color="auto"/>
            </w:tcBorders>
            <w:hideMark/>
          </w:tcPr>
          <w:p w:rsidR="00A82064" w:rsidRPr="003D3EAB" w:rsidRDefault="00A82064" w:rsidP="00A82064">
            <w:pPr>
              <w:spacing w:after="0" w:line="240" w:lineRule="auto"/>
              <w:jc w:val="both"/>
              <w:rPr>
                <w:rFonts w:ascii="Arial" w:hAnsi="Arial" w:cs="Arial"/>
                <w:sz w:val="20"/>
                <w:szCs w:val="20"/>
                <w:vertAlign w:val="subscript"/>
              </w:rPr>
            </w:pPr>
            <w:r>
              <w:rPr>
                <w:rFonts w:ascii="Arial" w:hAnsi="Arial" w:cs="Arial"/>
                <w:sz w:val="20"/>
                <w:szCs w:val="20"/>
              </w:rPr>
              <w:t>Z</w:t>
            </w:r>
            <w:r w:rsidR="003D3EAB">
              <w:rPr>
                <w:rFonts w:ascii="Arial" w:hAnsi="Arial" w:cs="Arial"/>
                <w:sz w:val="20"/>
                <w:szCs w:val="20"/>
                <w:vertAlign w:val="subscript"/>
              </w:rPr>
              <w:t>polop</w:t>
            </w:r>
          </w:p>
        </w:tc>
        <w:tc>
          <w:tcPr>
            <w:tcW w:w="1667" w:type="dxa"/>
            <w:tcBorders>
              <w:top w:val="single" w:sz="4" w:space="0" w:color="auto"/>
              <w:left w:val="single" w:sz="4" w:space="0" w:color="auto"/>
              <w:bottom w:val="single" w:sz="4" w:space="0" w:color="auto"/>
              <w:right w:val="single" w:sz="4" w:space="0" w:color="auto"/>
            </w:tcBorders>
            <w:hideMark/>
          </w:tcPr>
          <w:p w:rsidR="00A82064" w:rsidRDefault="00A82064" w:rsidP="003D3EAB">
            <w:pPr>
              <w:spacing w:after="0" w:line="240" w:lineRule="auto"/>
              <w:rPr>
                <w:rFonts w:ascii="Arial" w:hAnsi="Arial" w:cs="Arial"/>
                <w:sz w:val="20"/>
                <w:szCs w:val="20"/>
              </w:rPr>
            </w:pPr>
            <w:r>
              <w:rPr>
                <w:rFonts w:ascii="Arial" w:hAnsi="Arial" w:cs="Arial"/>
                <w:sz w:val="20"/>
                <w:szCs w:val="20"/>
              </w:rPr>
              <w:t>Poloprovoz</w:t>
            </w:r>
          </w:p>
        </w:tc>
        <w:tc>
          <w:tcPr>
            <w:tcW w:w="5075" w:type="dxa"/>
            <w:tcBorders>
              <w:top w:val="single" w:sz="4" w:space="0" w:color="auto"/>
              <w:left w:val="single" w:sz="4" w:space="0" w:color="auto"/>
              <w:bottom w:val="single" w:sz="4" w:space="0" w:color="auto"/>
              <w:right w:val="single" w:sz="4" w:space="0" w:color="auto"/>
            </w:tcBorders>
            <w:hideMark/>
          </w:tcPr>
          <w:p w:rsidR="00A82064" w:rsidRDefault="00A82064" w:rsidP="00A82064">
            <w:pPr>
              <w:pStyle w:val="Default"/>
              <w:jc w:val="both"/>
              <w:rPr>
                <w:rFonts w:ascii="Arial" w:hAnsi="Arial" w:cs="Arial"/>
                <w:sz w:val="20"/>
                <w:szCs w:val="20"/>
              </w:rPr>
            </w:pPr>
            <w:r>
              <w:rPr>
                <w:rFonts w:ascii="Arial" w:hAnsi="Arial" w:cs="Arial"/>
                <w:sz w:val="20"/>
                <w:szCs w:val="20"/>
              </w:rPr>
              <w:t xml:space="preserve">Výsledek „Poloprovoz“ ověřil původní výsledky výzkumu a vývoje, které byly uskutečněny autorem nebo týmem, jehož byl autor členem. Jedná se o ověření funkčnosti laboratorních postupů ve větších měřítcích, tj. v zkušebních či ověřovacích provozech, které slouží pro ověření vlastností, činností, poruchovosti a dalších sledovaných parametrů pro uvedení nového systému do provozu k maximálnímu nebo plánovanému výkonu. Poloprovoz musí být doprovázen alespoň návrhem nebo konstrukcí zařízení, které umožní zamýšlenou produkci ve větším množství (hromadná či sériová výroba). Podmínkou je novost a unikátnost návrhu – celého výrobního postupu (technologie) včetně strojního vybavení, doložitelnou celou technickou dokumentací výsledku. </w:t>
            </w:r>
          </w:p>
        </w:tc>
        <w:tc>
          <w:tcPr>
            <w:tcW w:w="816"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3D3EAB">
        <w:tc>
          <w:tcPr>
            <w:tcW w:w="1190"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G</w:t>
            </w:r>
            <w:r>
              <w:rPr>
                <w:rFonts w:ascii="Arial" w:hAnsi="Arial" w:cs="Arial"/>
                <w:sz w:val="20"/>
                <w:szCs w:val="20"/>
                <w:vertAlign w:val="subscript"/>
              </w:rPr>
              <w:t>p</w:t>
            </w:r>
            <w:r w:rsidR="003D3EAB">
              <w:rPr>
                <w:rFonts w:ascii="Arial" w:hAnsi="Arial" w:cs="Arial"/>
                <w:sz w:val="20"/>
                <w:szCs w:val="20"/>
                <w:vertAlign w:val="subscript"/>
              </w:rPr>
              <w:t>rot</w:t>
            </w:r>
          </w:p>
        </w:tc>
        <w:tc>
          <w:tcPr>
            <w:tcW w:w="1667" w:type="dxa"/>
            <w:tcBorders>
              <w:top w:val="single" w:sz="4" w:space="0" w:color="auto"/>
              <w:left w:val="single" w:sz="4" w:space="0" w:color="auto"/>
              <w:bottom w:val="single" w:sz="4" w:space="0" w:color="auto"/>
              <w:right w:val="single" w:sz="4" w:space="0" w:color="auto"/>
            </w:tcBorders>
            <w:hideMark/>
          </w:tcPr>
          <w:p w:rsidR="00A82064" w:rsidRDefault="00A82064" w:rsidP="003D3EAB">
            <w:pPr>
              <w:spacing w:after="0" w:line="240" w:lineRule="auto"/>
              <w:rPr>
                <w:rFonts w:ascii="Arial" w:hAnsi="Arial" w:cs="Arial"/>
                <w:sz w:val="20"/>
                <w:szCs w:val="20"/>
              </w:rPr>
            </w:pPr>
            <w:r>
              <w:rPr>
                <w:rFonts w:ascii="Arial" w:hAnsi="Arial" w:cs="Arial"/>
                <w:sz w:val="20"/>
                <w:szCs w:val="20"/>
              </w:rPr>
              <w:t>Prototyp</w:t>
            </w:r>
          </w:p>
        </w:tc>
        <w:tc>
          <w:tcPr>
            <w:tcW w:w="5075" w:type="dxa"/>
            <w:tcBorders>
              <w:top w:val="single" w:sz="4" w:space="0" w:color="auto"/>
              <w:left w:val="single" w:sz="4" w:space="0" w:color="auto"/>
              <w:bottom w:val="single" w:sz="4" w:space="0" w:color="auto"/>
              <w:right w:val="single" w:sz="4" w:space="0" w:color="auto"/>
            </w:tcBorders>
            <w:hideMark/>
          </w:tcPr>
          <w:p w:rsidR="00A82064" w:rsidRDefault="00A82064" w:rsidP="00A82064">
            <w:pPr>
              <w:pStyle w:val="Default"/>
              <w:jc w:val="both"/>
              <w:rPr>
                <w:rFonts w:ascii="Arial" w:hAnsi="Arial" w:cs="Arial"/>
                <w:sz w:val="20"/>
                <w:szCs w:val="20"/>
              </w:rPr>
            </w:pPr>
            <w:r>
              <w:rPr>
                <w:rFonts w:ascii="Arial" w:hAnsi="Arial" w:cs="Arial"/>
                <w:sz w:val="20"/>
                <w:szCs w:val="20"/>
              </w:rPr>
              <w:t xml:space="preserve">Výsledek „Prototyp“ realizoval původní výsledky výzkumu a vývoje, které byly uskutečněny autorem nebo týmem, jehož byl autor členem. Jedná se o funkční průmyslový výrobek, zhotovený jako jeden kus k ověření vlastností konstrukce v praxi nebo na zkušebně před zavedením nulté či sériové nebo hromadné výroby. Za takový výsledek může být považován pouze takový výrobek, jehož vývoj byl cílem řešení projektu aplikovaného výzkumu, experimentálního vývoje a inovací nebo jiných aktivit aplikovaného VaVaI. Podmínkou je novost a unikátnost návrhu prototypu, která je doložitelná technickou dokumentací výsledku. </w:t>
            </w:r>
          </w:p>
        </w:tc>
        <w:tc>
          <w:tcPr>
            <w:tcW w:w="816"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3D3EAB">
        <w:tc>
          <w:tcPr>
            <w:tcW w:w="1190"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G</w:t>
            </w:r>
            <w:r>
              <w:rPr>
                <w:rFonts w:ascii="Arial" w:hAnsi="Arial" w:cs="Arial"/>
                <w:sz w:val="20"/>
                <w:szCs w:val="20"/>
                <w:vertAlign w:val="subscript"/>
              </w:rPr>
              <w:t>f</w:t>
            </w:r>
            <w:r w:rsidR="003D3EAB">
              <w:rPr>
                <w:rFonts w:ascii="Arial" w:hAnsi="Arial" w:cs="Arial"/>
                <w:sz w:val="20"/>
                <w:szCs w:val="20"/>
                <w:vertAlign w:val="subscript"/>
              </w:rPr>
              <w:t>unk</w:t>
            </w:r>
          </w:p>
        </w:tc>
        <w:tc>
          <w:tcPr>
            <w:tcW w:w="1667" w:type="dxa"/>
            <w:tcBorders>
              <w:top w:val="single" w:sz="4" w:space="0" w:color="auto"/>
              <w:left w:val="single" w:sz="4" w:space="0" w:color="auto"/>
              <w:bottom w:val="single" w:sz="4" w:space="0" w:color="auto"/>
              <w:right w:val="single" w:sz="4" w:space="0" w:color="auto"/>
            </w:tcBorders>
            <w:hideMark/>
          </w:tcPr>
          <w:p w:rsidR="00A82064" w:rsidRDefault="00A82064" w:rsidP="003D3EAB">
            <w:pPr>
              <w:spacing w:after="0" w:line="240" w:lineRule="auto"/>
              <w:rPr>
                <w:rFonts w:ascii="Arial" w:hAnsi="Arial" w:cs="Arial"/>
                <w:sz w:val="20"/>
                <w:szCs w:val="20"/>
              </w:rPr>
            </w:pPr>
            <w:r>
              <w:rPr>
                <w:rFonts w:ascii="Arial" w:hAnsi="Arial" w:cs="Arial"/>
                <w:sz w:val="20"/>
                <w:szCs w:val="20"/>
              </w:rPr>
              <w:t>Funkční vzorek</w:t>
            </w:r>
          </w:p>
        </w:tc>
        <w:tc>
          <w:tcPr>
            <w:tcW w:w="5075" w:type="dxa"/>
            <w:tcBorders>
              <w:top w:val="single" w:sz="4" w:space="0" w:color="auto"/>
              <w:left w:val="single" w:sz="4" w:space="0" w:color="auto"/>
              <w:bottom w:val="single" w:sz="4" w:space="0" w:color="auto"/>
              <w:right w:val="single" w:sz="4" w:space="0" w:color="auto"/>
            </w:tcBorders>
            <w:hideMark/>
          </w:tcPr>
          <w:p w:rsidR="00A82064" w:rsidRDefault="00A82064" w:rsidP="00A82064">
            <w:pPr>
              <w:pStyle w:val="Default"/>
              <w:jc w:val="both"/>
              <w:rPr>
                <w:rFonts w:ascii="Arial" w:hAnsi="Arial" w:cs="Arial"/>
                <w:sz w:val="20"/>
                <w:szCs w:val="20"/>
              </w:rPr>
            </w:pPr>
            <w:r>
              <w:rPr>
                <w:rFonts w:ascii="Arial" w:hAnsi="Arial" w:cs="Arial"/>
                <w:sz w:val="20"/>
                <w:szCs w:val="20"/>
              </w:rPr>
              <w:t xml:space="preserve">Výsledek „Funkční vzorek“ realizoval původní výsledky výzkumu a vývoje, které byly uskutečněny autorem nebo týmem, jehož byl autor členem. Jedná se o obdobu prototypu, pouze s tím rozdílem, že za vývojem či výrobou funkčního vzorku bezprostředně nenásleduje nultá série či sériová nebo hromadná výroba. Jedná se např. o návrh, vývoj a následnou výrobu jednoho unikátního přístroje nebo laboratorního zařízení nebo vytvoření vzorku biologického charakteru, nesoucího prokazatelně novou unikátní a zároveň hospodářsky významnou vlastnost. Za takový výsledek může být považován pouze takový výrobek, přístroj nebo vzorek biologického charakteru, jehož </w:t>
            </w:r>
            <w:r>
              <w:rPr>
                <w:rFonts w:ascii="Arial" w:hAnsi="Arial" w:cs="Arial"/>
                <w:sz w:val="20"/>
                <w:szCs w:val="20"/>
              </w:rPr>
              <w:lastRenderedPageBreak/>
              <w:t xml:space="preserve">vývoj byl cílem řešení projektu aplikovaného výzkumu, experimentálního vývoje a inovací nebo jiných aktivit aplikovaného VaVaI. Podmínkou je novost a unikátnost návrhu funkčního vzorku, která je doložitelná technickou nebo obdobnou dokumentací výsledku. </w:t>
            </w:r>
          </w:p>
        </w:tc>
        <w:tc>
          <w:tcPr>
            <w:tcW w:w="816"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3D3EAB">
        <w:tc>
          <w:tcPr>
            <w:tcW w:w="1190"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H</w:t>
            </w:r>
            <w:r>
              <w:rPr>
                <w:rFonts w:ascii="Arial" w:hAnsi="Arial" w:cs="Arial"/>
                <w:sz w:val="20"/>
                <w:szCs w:val="20"/>
                <w:vertAlign w:val="subscript"/>
              </w:rPr>
              <w:t>leg</w:t>
            </w:r>
          </w:p>
        </w:tc>
        <w:tc>
          <w:tcPr>
            <w:tcW w:w="1667" w:type="dxa"/>
            <w:tcBorders>
              <w:top w:val="single" w:sz="4" w:space="0" w:color="auto"/>
              <w:left w:val="single" w:sz="4" w:space="0" w:color="auto"/>
              <w:bottom w:val="single" w:sz="4" w:space="0" w:color="auto"/>
              <w:right w:val="single" w:sz="4" w:space="0" w:color="auto"/>
            </w:tcBorders>
            <w:hideMark/>
          </w:tcPr>
          <w:p w:rsidR="00A82064" w:rsidRPr="003D3EAB" w:rsidRDefault="003D3EAB" w:rsidP="003D3EAB">
            <w:pPr>
              <w:spacing w:after="0" w:line="240" w:lineRule="auto"/>
              <w:rPr>
                <w:rFonts w:ascii="Arial" w:hAnsi="Arial" w:cs="Arial"/>
                <w:sz w:val="20"/>
                <w:szCs w:val="20"/>
              </w:rPr>
            </w:pPr>
            <w:r w:rsidRPr="003D3EAB">
              <w:rPr>
                <w:rFonts w:ascii="Arial" w:hAnsi="Arial" w:cs="Arial"/>
                <w:sz w:val="20"/>
                <w:szCs w:val="20"/>
              </w:rPr>
              <w:t>Výsledky promítnuté do právních předpisů a norem</w:t>
            </w:r>
          </w:p>
        </w:tc>
        <w:tc>
          <w:tcPr>
            <w:tcW w:w="5075" w:type="dxa"/>
            <w:tcBorders>
              <w:top w:val="single" w:sz="4" w:space="0" w:color="auto"/>
              <w:left w:val="single" w:sz="4" w:space="0" w:color="auto"/>
              <w:bottom w:val="single" w:sz="4" w:space="0" w:color="auto"/>
              <w:right w:val="single" w:sz="4" w:space="0" w:color="auto"/>
            </w:tcBorders>
            <w:hideMark/>
          </w:tcPr>
          <w:p w:rsidR="00A82064" w:rsidRPr="003D3EAB" w:rsidRDefault="003D3EAB" w:rsidP="00A82064">
            <w:pPr>
              <w:pStyle w:val="Default"/>
              <w:jc w:val="both"/>
              <w:rPr>
                <w:rFonts w:ascii="Arial" w:hAnsi="Arial" w:cs="Arial"/>
                <w:sz w:val="20"/>
                <w:szCs w:val="20"/>
              </w:rPr>
            </w:pPr>
            <w:r w:rsidRPr="003D3EAB">
              <w:rPr>
                <w:rFonts w:ascii="Arial" w:hAnsi="Arial" w:cs="Arial"/>
                <w:sz w:val="20"/>
                <w:szCs w:val="20"/>
              </w:rPr>
              <w:t>„Výsledky promítnuté do právních předpisů a norem“ realizovaly původní výsledky výzkumu a vývoje, které byly uskutečněny autorem nebo týmem, jehož byl autor členem. Jedná se o výsledek, jehož obsah bude (bez úprav podstaty návrhu, které nezahrnují např. legislativně-technické úpravy) převzat do připomínkového řízení či schvalovacího procesu právního předpisu (nebo jeho části) nebo normy a vyvinuto veškeré úsilí k naplnění definice za současné existence výsledku promítnutelného do právního předpisu nebo normy. V případě aplikace výsledku do právních předpisů se musí jednat o český právní předpis nebo mezinárodní právní předpis. V případě aplikace výsledku do normy je podmínkou, aby vydavatelem normy byl autorizovaný normalizační institut oprávněný vydávat normy (závazné či doporučující). Nerozlišuje se, zda se jedná o normu národní (českou nebo jiného státu s národní působností) nebo nadnárodní (evropskou).</w:t>
            </w:r>
            <w:r w:rsidR="00A82064" w:rsidRPr="003D3EAB">
              <w:rPr>
                <w:rFonts w:ascii="Arial" w:hAnsi="Arial" w:cs="Arial"/>
                <w:sz w:val="20"/>
                <w:szCs w:val="20"/>
              </w:rPr>
              <w:t xml:space="preserve"> </w:t>
            </w:r>
          </w:p>
        </w:tc>
        <w:tc>
          <w:tcPr>
            <w:tcW w:w="816"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3D3EAB">
        <w:tc>
          <w:tcPr>
            <w:tcW w:w="1190"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H</w:t>
            </w:r>
            <w:r>
              <w:rPr>
                <w:rFonts w:ascii="Arial" w:hAnsi="Arial" w:cs="Arial"/>
                <w:sz w:val="20"/>
                <w:szCs w:val="20"/>
                <w:vertAlign w:val="subscript"/>
              </w:rPr>
              <w:t>neleg</w:t>
            </w:r>
          </w:p>
        </w:tc>
        <w:tc>
          <w:tcPr>
            <w:tcW w:w="1667" w:type="dxa"/>
            <w:tcBorders>
              <w:top w:val="single" w:sz="4" w:space="0" w:color="auto"/>
              <w:left w:val="single" w:sz="4" w:space="0" w:color="auto"/>
              <w:bottom w:val="single" w:sz="4" w:space="0" w:color="auto"/>
              <w:right w:val="single" w:sz="4" w:space="0" w:color="auto"/>
            </w:tcBorders>
            <w:hideMark/>
          </w:tcPr>
          <w:p w:rsidR="00A82064" w:rsidRPr="003D3EAB" w:rsidRDefault="003D3EAB" w:rsidP="003D3EAB">
            <w:pPr>
              <w:spacing w:after="0" w:line="240" w:lineRule="auto"/>
              <w:rPr>
                <w:rFonts w:ascii="Arial" w:hAnsi="Arial" w:cs="Arial"/>
                <w:sz w:val="20"/>
                <w:szCs w:val="20"/>
              </w:rPr>
            </w:pPr>
            <w:r w:rsidRPr="003D3EAB">
              <w:rPr>
                <w:rFonts w:ascii="Arial" w:hAnsi="Arial" w:cs="Arial"/>
                <w:sz w:val="20"/>
                <w:szCs w:val="20"/>
              </w:rPr>
              <w:t>Výsledky promítnuté do směrnic a předpisů nelegislativní povahy závazných v rámci kompetence příslušného poskytovatele</w:t>
            </w:r>
          </w:p>
        </w:tc>
        <w:tc>
          <w:tcPr>
            <w:tcW w:w="5075" w:type="dxa"/>
            <w:tcBorders>
              <w:top w:val="single" w:sz="4" w:space="0" w:color="auto"/>
              <w:left w:val="single" w:sz="4" w:space="0" w:color="auto"/>
              <w:bottom w:val="single" w:sz="4" w:space="0" w:color="auto"/>
              <w:right w:val="single" w:sz="4" w:space="0" w:color="auto"/>
            </w:tcBorders>
            <w:hideMark/>
          </w:tcPr>
          <w:p w:rsidR="00A82064" w:rsidRPr="003D3EAB" w:rsidRDefault="003D3EAB" w:rsidP="00A82064">
            <w:pPr>
              <w:pStyle w:val="Default"/>
              <w:jc w:val="both"/>
              <w:rPr>
                <w:rFonts w:ascii="Arial" w:hAnsi="Arial" w:cs="Arial"/>
                <w:sz w:val="20"/>
                <w:szCs w:val="20"/>
              </w:rPr>
            </w:pPr>
            <w:r w:rsidRPr="003D3EAB">
              <w:rPr>
                <w:rFonts w:ascii="Arial" w:hAnsi="Arial" w:cs="Arial"/>
                <w:sz w:val="20"/>
                <w:szCs w:val="20"/>
              </w:rPr>
              <w:t>„Výsledky promítnuté do směrnic a předpisů nelegislativní povahy závazných v rámci kompetence příslušného poskytovatele“ realizovaly původní výsledky výzkumu a vývoje, které byly uskutečněny autorem nebo týmem, jehož byl autor členem. Jedná se o výsledek, který je použit (převzat bez úprav podstaty návrhu, které nezahrnují např. technické úpravy) do návrhu konečného znění směrnice či předpisu nelegislativní povahy a vyvinuto veškeré úsilí k naplnění definice za současné existence výsledku promítnutelného do dané směrnice nebo předpisu, který může příslušný poskytovatel nebo jiný kompetenčně příslušný orgán v rámci své kompetence vyhlásit za obecně závazný (nejedná se o metodiku) a je zveřejněn ve Věstníku příslušného ministerstva, resp. v publikační sbírce předpisů a metodických pokynů vydávané příslušným ústředním správním úřadem, včetně elektronické formy.</w:t>
            </w:r>
            <w:r w:rsidR="00A82064" w:rsidRPr="003D3EAB">
              <w:rPr>
                <w:rFonts w:ascii="Arial" w:hAnsi="Arial" w:cs="Arial"/>
                <w:sz w:val="20"/>
                <w:szCs w:val="20"/>
              </w:rPr>
              <w:t xml:space="preserve"> </w:t>
            </w:r>
          </w:p>
        </w:tc>
        <w:tc>
          <w:tcPr>
            <w:tcW w:w="816"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3D3EAB" w:rsidTr="003D3EAB">
        <w:tc>
          <w:tcPr>
            <w:tcW w:w="1190" w:type="dxa"/>
            <w:tcBorders>
              <w:top w:val="single" w:sz="4" w:space="0" w:color="auto"/>
              <w:left w:val="single" w:sz="4" w:space="0" w:color="auto"/>
              <w:bottom w:val="single" w:sz="4" w:space="0" w:color="auto"/>
              <w:right w:val="single" w:sz="4" w:space="0" w:color="auto"/>
            </w:tcBorders>
          </w:tcPr>
          <w:p w:rsidR="003D3EAB" w:rsidRPr="003D3EAB" w:rsidRDefault="003D3EAB" w:rsidP="00A82064">
            <w:pPr>
              <w:spacing w:after="0" w:line="240" w:lineRule="auto"/>
              <w:jc w:val="both"/>
              <w:rPr>
                <w:rFonts w:ascii="Arial" w:hAnsi="Arial" w:cs="Arial"/>
                <w:sz w:val="20"/>
                <w:szCs w:val="20"/>
                <w:vertAlign w:val="subscript"/>
              </w:rPr>
            </w:pPr>
            <w:r>
              <w:rPr>
                <w:rFonts w:ascii="Arial" w:hAnsi="Arial" w:cs="Arial"/>
                <w:sz w:val="20"/>
                <w:szCs w:val="20"/>
              </w:rPr>
              <w:t>H</w:t>
            </w:r>
            <w:r>
              <w:rPr>
                <w:rFonts w:ascii="Arial" w:hAnsi="Arial" w:cs="Arial"/>
                <w:sz w:val="20"/>
                <w:szCs w:val="20"/>
                <w:vertAlign w:val="subscript"/>
              </w:rPr>
              <w:t>konc</w:t>
            </w:r>
          </w:p>
        </w:tc>
        <w:tc>
          <w:tcPr>
            <w:tcW w:w="1667" w:type="dxa"/>
            <w:tcBorders>
              <w:top w:val="single" w:sz="4" w:space="0" w:color="auto"/>
              <w:left w:val="single" w:sz="4" w:space="0" w:color="auto"/>
              <w:bottom w:val="single" w:sz="4" w:space="0" w:color="auto"/>
              <w:right w:val="single" w:sz="4" w:space="0" w:color="auto"/>
            </w:tcBorders>
          </w:tcPr>
          <w:p w:rsidR="003D3EAB" w:rsidRPr="003D3EAB" w:rsidRDefault="003D3EAB" w:rsidP="003D3EAB">
            <w:pPr>
              <w:spacing w:after="0" w:line="240" w:lineRule="auto"/>
              <w:rPr>
                <w:rFonts w:ascii="Arial" w:hAnsi="Arial" w:cs="Arial"/>
                <w:sz w:val="20"/>
                <w:szCs w:val="20"/>
              </w:rPr>
            </w:pPr>
            <w:r w:rsidRPr="003D3EAB">
              <w:rPr>
                <w:rFonts w:ascii="Arial" w:hAnsi="Arial" w:cs="Arial"/>
                <w:sz w:val="20"/>
                <w:szCs w:val="20"/>
              </w:rPr>
              <w:t>Výsledky promítnuté do schválených strategických a koncepčních dokumentů orgánů státní nebo veřejné správy</w:t>
            </w:r>
          </w:p>
        </w:tc>
        <w:tc>
          <w:tcPr>
            <w:tcW w:w="5075" w:type="dxa"/>
            <w:tcBorders>
              <w:top w:val="single" w:sz="4" w:space="0" w:color="auto"/>
              <w:left w:val="single" w:sz="4" w:space="0" w:color="auto"/>
              <w:bottom w:val="single" w:sz="4" w:space="0" w:color="auto"/>
              <w:right w:val="single" w:sz="4" w:space="0" w:color="auto"/>
            </w:tcBorders>
          </w:tcPr>
          <w:p w:rsidR="003D3EAB" w:rsidRPr="003D3EAB" w:rsidRDefault="003D3EAB" w:rsidP="00A82064">
            <w:pPr>
              <w:pStyle w:val="Default"/>
              <w:jc w:val="both"/>
              <w:rPr>
                <w:rFonts w:ascii="Arial" w:hAnsi="Arial" w:cs="Arial"/>
                <w:sz w:val="20"/>
                <w:szCs w:val="20"/>
              </w:rPr>
            </w:pPr>
            <w:r w:rsidRPr="003D3EAB">
              <w:rPr>
                <w:rFonts w:ascii="Arial" w:hAnsi="Arial" w:cs="Arial"/>
                <w:sz w:val="20"/>
                <w:szCs w:val="20"/>
              </w:rPr>
              <w:t>„Výsledky promítnuté do schválených strategických a koncepčních dokumentů orgánů státní nebo veřejné správy“ realizovaly původní výsledky výzkumu a vývoje, které byly uskutečněny autorem nebo týmem, jehož byl autor členem. Jedná se o výsledek prokazatelně využitý při tvorbě schválených politik a koncepcí, včetně politik výzkumu, vývoje a inovací a programů výzkumu, vývoje a inovací, přičemž se nerozlišuje, zda jde o úroveň národní, regionální či nadnárodní.</w:t>
            </w:r>
          </w:p>
        </w:tc>
        <w:tc>
          <w:tcPr>
            <w:tcW w:w="816" w:type="dxa"/>
            <w:tcBorders>
              <w:top w:val="single" w:sz="4" w:space="0" w:color="auto"/>
              <w:left w:val="single" w:sz="4" w:space="0" w:color="auto"/>
              <w:bottom w:val="single" w:sz="4" w:space="0" w:color="auto"/>
              <w:right w:val="single" w:sz="4" w:space="0" w:color="auto"/>
            </w:tcBorders>
          </w:tcPr>
          <w:p w:rsidR="003D3EAB" w:rsidRDefault="003D3EAB" w:rsidP="00A82064">
            <w:pPr>
              <w:spacing w:after="0" w:line="240" w:lineRule="auto"/>
              <w:jc w:val="both"/>
              <w:rPr>
                <w:rFonts w:ascii="Arial" w:hAnsi="Arial" w:cs="Arial"/>
                <w:sz w:val="20"/>
                <w:szCs w:val="20"/>
              </w:rPr>
            </w:pPr>
          </w:p>
        </w:tc>
      </w:tr>
      <w:tr w:rsidR="00A82064" w:rsidTr="003D3EAB">
        <w:tc>
          <w:tcPr>
            <w:tcW w:w="1190"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N</w:t>
            </w:r>
            <w:r>
              <w:rPr>
                <w:rFonts w:ascii="Arial" w:hAnsi="Arial" w:cs="Arial"/>
                <w:sz w:val="20"/>
                <w:szCs w:val="20"/>
                <w:vertAlign w:val="subscript"/>
              </w:rPr>
              <w:t>met</w:t>
            </w:r>
            <w:r w:rsidR="003D3EAB">
              <w:rPr>
                <w:rFonts w:ascii="Arial" w:hAnsi="Arial" w:cs="Arial"/>
                <w:sz w:val="20"/>
                <w:szCs w:val="20"/>
                <w:vertAlign w:val="subscript"/>
              </w:rPr>
              <w:t>S</w:t>
            </w:r>
          </w:p>
          <w:p w:rsidR="003D3EAB" w:rsidRPr="003D3EAB" w:rsidRDefault="003D3EAB" w:rsidP="00A82064">
            <w:pPr>
              <w:spacing w:after="0" w:line="240" w:lineRule="auto"/>
              <w:jc w:val="both"/>
              <w:rPr>
                <w:rFonts w:ascii="Arial" w:hAnsi="Arial" w:cs="Arial"/>
                <w:sz w:val="20"/>
                <w:szCs w:val="20"/>
                <w:vertAlign w:val="subscript"/>
              </w:rPr>
            </w:pPr>
            <w:r>
              <w:rPr>
                <w:rFonts w:ascii="Arial" w:hAnsi="Arial" w:cs="Arial"/>
                <w:sz w:val="20"/>
                <w:szCs w:val="20"/>
              </w:rPr>
              <w:t>N</w:t>
            </w:r>
            <w:r>
              <w:rPr>
                <w:rFonts w:ascii="Arial" w:hAnsi="Arial" w:cs="Arial"/>
                <w:sz w:val="20"/>
                <w:szCs w:val="20"/>
                <w:vertAlign w:val="subscript"/>
              </w:rPr>
              <w:t>metC</w:t>
            </w:r>
          </w:p>
          <w:p w:rsidR="003D3EAB" w:rsidRPr="003D3EAB" w:rsidRDefault="003D3EAB" w:rsidP="00A82064">
            <w:pPr>
              <w:spacing w:after="0" w:line="240" w:lineRule="auto"/>
              <w:jc w:val="both"/>
              <w:rPr>
                <w:rFonts w:ascii="Arial" w:hAnsi="Arial" w:cs="Arial"/>
                <w:sz w:val="20"/>
                <w:szCs w:val="20"/>
                <w:vertAlign w:val="subscript"/>
              </w:rPr>
            </w:pPr>
            <w:r>
              <w:rPr>
                <w:rFonts w:ascii="Arial" w:hAnsi="Arial" w:cs="Arial"/>
                <w:sz w:val="20"/>
                <w:szCs w:val="20"/>
              </w:rPr>
              <w:t>N</w:t>
            </w:r>
            <w:r>
              <w:rPr>
                <w:rFonts w:ascii="Arial" w:hAnsi="Arial" w:cs="Arial"/>
                <w:sz w:val="20"/>
                <w:szCs w:val="20"/>
                <w:vertAlign w:val="subscript"/>
              </w:rPr>
              <w:t>metA</w:t>
            </w:r>
          </w:p>
        </w:tc>
        <w:tc>
          <w:tcPr>
            <w:tcW w:w="1667" w:type="dxa"/>
            <w:tcBorders>
              <w:top w:val="single" w:sz="4" w:space="0" w:color="auto"/>
              <w:left w:val="single" w:sz="4" w:space="0" w:color="auto"/>
              <w:bottom w:val="single" w:sz="4" w:space="0" w:color="auto"/>
              <w:right w:val="single" w:sz="4" w:space="0" w:color="auto"/>
            </w:tcBorders>
            <w:hideMark/>
          </w:tcPr>
          <w:p w:rsidR="00A82064" w:rsidRDefault="003D3EAB" w:rsidP="003D3EAB">
            <w:pPr>
              <w:spacing w:after="0" w:line="240" w:lineRule="auto"/>
              <w:rPr>
                <w:rFonts w:ascii="Arial" w:hAnsi="Arial" w:cs="Arial"/>
                <w:sz w:val="20"/>
                <w:szCs w:val="20"/>
              </w:rPr>
            </w:pPr>
            <w:r>
              <w:rPr>
                <w:rFonts w:ascii="Arial" w:hAnsi="Arial" w:cs="Arial"/>
                <w:sz w:val="20"/>
                <w:szCs w:val="20"/>
              </w:rPr>
              <w:t>M</w:t>
            </w:r>
            <w:r w:rsidR="00A82064">
              <w:rPr>
                <w:rFonts w:ascii="Arial" w:hAnsi="Arial" w:cs="Arial"/>
                <w:sz w:val="20"/>
                <w:szCs w:val="20"/>
              </w:rPr>
              <w:t>etodika</w:t>
            </w:r>
          </w:p>
        </w:tc>
        <w:tc>
          <w:tcPr>
            <w:tcW w:w="5075" w:type="dxa"/>
            <w:tcBorders>
              <w:top w:val="single" w:sz="4" w:space="0" w:color="auto"/>
              <w:left w:val="single" w:sz="4" w:space="0" w:color="auto"/>
              <w:bottom w:val="single" w:sz="4" w:space="0" w:color="auto"/>
              <w:right w:val="single" w:sz="4" w:space="0" w:color="auto"/>
            </w:tcBorders>
            <w:hideMark/>
          </w:tcPr>
          <w:p w:rsidR="003D3EAB" w:rsidRPr="003D3EAB" w:rsidRDefault="003D3EAB" w:rsidP="003D3EAB">
            <w:pPr>
              <w:pStyle w:val="Default"/>
              <w:jc w:val="both"/>
              <w:rPr>
                <w:rFonts w:ascii="Arial" w:hAnsi="Arial" w:cs="Arial"/>
                <w:sz w:val="20"/>
                <w:szCs w:val="20"/>
              </w:rPr>
            </w:pPr>
            <w:r w:rsidRPr="003D3EAB">
              <w:rPr>
                <w:rFonts w:ascii="Arial" w:hAnsi="Arial" w:cs="Arial"/>
                <w:sz w:val="20"/>
                <w:szCs w:val="20"/>
              </w:rPr>
              <w:t xml:space="preserve">Výsledek „Metodika“ je souhrnem doporučených praktik a postupů schválených, certifikovaných nebo akreditovaných kompetenčně příslušným orgánem veřejné správy nebo, pokud kompetenčně příslušný orgán neexistuje, autorizovaným certifikačním (akreditačním) subjektem, provádějícím certifikaci (akreditaci) na základě mezinárodních smluv, norem či obdobných dokumentů s jednoznačně vymezenými a zveřejněnými kompetencemi pro konkrétní oblasti, </w:t>
            </w:r>
            <w:r w:rsidRPr="003D3EAB">
              <w:rPr>
                <w:rFonts w:ascii="Arial" w:hAnsi="Arial" w:cs="Arial"/>
                <w:sz w:val="20"/>
                <w:szCs w:val="20"/>
              </w:rPr>
              <w:lastRenderedPageBreak/>
              <w:t>obory či odvětví a s jednoznačně vymezenými uživateli tak, aby tito uživatelé měli jistotu, že při jejím dodržení budou získané výsledky průkazné, opakovatelné a že se jich lze dovolat. Výsledek „Metodika“ realizoval původní výsledky výzkumu a vývoje, které byly uskutečněny autorem nebo týmem, jehož byl autor členem.</w:t>
            </w:r>
          </w:p>
          <w:p w:rsidR="003D3EAB" w:rsidRPr="003D3EAB" w:rsidRDefault="003D3EAB" w:rsidP="003D3EAB">
            <w:pPr>
              <w:pStyle w:val="Default"/>
              <w:jc w:val="both"/>
              <w:rPr>
                <w:rFonts w:ascii="Arial" w:hAnsi="Arial" w:cs="Arial"/>
                <w:sz w:val="20"/>
                <w:szCs w:val="20"/>
              </w:rPr>
            </w:pPr>
            <w:r w:rsidRPr="003D3EAB">
              <w:rPr>
                <w:rFonts w:ascii="Arial" w:hAnsi="Arial" w:cs="Arial"/>
                <w:sz w:val="20"/>
                <w:szCs w:val="20"/>
              </w:rPr>
              <w:t>Tento druh výsledku zahrnuje:</w:t>
            </w:r>
          </w:p>
          <w:p w:rsidR="003D3EAB" w:rsidRPr="003D3EAB" w:rsidRDefault="003D3EAB" w:rsidP="003D3EAB">
            <w:pPr>
              <w:pStyle w:val="Default"/>
              <w:ind w:left="851" w:hanging="851"/>
              <w:jc w:val="both"/>
              <w:rPr>
                <w:rFonts w:ascii="Arial" w:hAnsi="Arial" w:cs="Arial"/>
                <w:sz w:val="20"/>
                <w:szCs w:val="20"/>
              </w:rPr>
            </w:pPr>
            <w:r w:rsidRPr="003D3EAB">
              <w:rPr>
                <w:rFonts w:ascii="Arial" w:hAnsi="Arial" w:cs="Arial"/>
                <w:sz w:val="20"/>
                <w:szCs w:val="20"/>
              </w:rPr>
              <w:t xml:space="preserve">a) </w:t>
            </w:r>
            <w:r w:rsidRPr="003D3EAB">
              <w:rPr>
                <w:rFonts w:ascii="Arial" w:hAnsi="Arial" w:cs="Arial"/>
                <w:b/>
                <w:bCs/>
                <w:sz w:val="20"/>
                <w:szCs w:val="20"/>
              </w:rPr>
              <w:t xml:space="preserve">NmetS </w:t>
            </w:r>
            <w:r w:rsidRPr="003D3EAB">
              <w:rPr>
                <w:rFonts w:ascii="Arial" w:hAnsi="Arial" w:cs="Arial"/>
                <w:sz w:val="20"/>
                <w:szCs w:val="20"/>
              </w:rPr>
              <w:t>metodiky schválené příslušným orgánem státní správy, do jehož kompetence daná problematika spadá;</w:t>
            </w:r>
          </w:p>
          <w:p w:rsidR="003D3EAB" w:rsidRPr="003D3EAB" w:rsidRDefault="003D3EAB" w:rsidP="003D3EAB">
            <w:pPr>
              <w:pStyle w:val="Default"/>
              <w:jc w:val="both"/>
              <w:rPr>
                <w:rFonts w:ascii="Arial" w:hAnsi="Arial" w:cs="Arial"/>
                <w:sz w:val="20"/>
                <w:szCs w:val="20"/>
              </w:rPr>
            </w:pPr>
            <w:r w:rsidRPr="003D3EAB">
              <w:rPr>
                <w:rFonts w:ascii="Arial" w:hAnsi="Arial" w:cs="Arial"/>
                <w:sz w:val="20"/>
                <w:szCs w:val="20"/>
              </w:rPr>
              <w:t xml:space="preserve">b) </w:t>
            </w:r>
            <w:r w:rsidRPr="003D3EAB">
              <w:rPr>
                <w:rFonts w:ascii="Arial" w:hAnsi="Arial" w:cs="Arial"/>
                <w:b/>
                <w:bCs/>
                <w:sz w:val="20"/>
                <w:szCs w:val="20"/>
              </w:rPr>
              <w:t xml:space="preserve">NmetC </w:t>
            </w:r>
            <w:r w:rsidRPr="003D3EAB">
              <w:rPr>
                <w:rFonts w:ascii="Arial" w:hAnsi="Arial" w:cs="Arial"/>
                <w:sz w:val="20"/>
                <w:szCs w:val="20"/>
              </w:rPr>
              <w:t>metodiky certifikované oprávněným orgánem;</w:t>
            </w:r>
          </w:p>
          <w:p w:rsidR="00A82064" w:rsidRPr="003D3EAB" w:rsidRDefault="003D3EAB" w:rsidP="003D3EAB">
            <w:pPr>
              <w:pStyle w:val="Default"/>
              <w:jc w:val="both"/>
              <w:rPr>
                <w:rFonts w:ascii="Arial" w:hAnsi="Arial" w:cs="Arial"/>
                <w:sz w:val="20"/>
                <w:szCs w:val="20"/>
              </w:rPr>
            </w:pPr>
            <w:r w:rsidRPr="003D3EAB">
              <w:rPr>
                <w:rFonts w:ascii="Arial" w:hAnsi="Arial" w:cs="Arial"/>
                <w:sz w:val="20"/>
                <w:szCs w:val="20"/>
              </w:rPr>
              <w:t xml:space="preserve">c) </w:t>
            </w:r>
            <w:r w:rsidRPr="003D3EAB">
              <w:rPr>
                <w:rFonts w:ascii="Arial" w:hAnsi="Arial" w:cs="Arial"/>
                <w:b/>
                <w:bCs/>
                <w:sz w:val="20"/>
                <w:szCs w:val="20"/>
              </w:rPr>
              <w:t xml:space="preserve">NmetA </w:t>
            </w:r>
            <w:r w:rsidRPr="003D3EAB">
              <w:rPr>
                <w:rFonts w:ascii="Arial" w:hAnsi="Arial" w:cs="Arial"/>
                <w:sz w:val="20"/>
                <w:szCs w:val="20"/>
              </w:rPr>
              <w:t>metodiky a postupy akreditované oprávněným orgánem.</w:t>
            </w:r>
          </w:p>
        </w:tc>
        <w:tc>
          <w:tcPr>
            <w:tcW w:w="816"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3D3EAB">
        <w:tc>
          <w:tcPr>
            <w:tcW w:w="1190" w:type="dxa"/>
            <w:tcBorders>
              <w:top w:val="single" w:sz="4" w:space="0" w:color="auto"/>
              <w:left w:val="single" w:sz="4" w:space="0" w:color="auto"/>
              <w:bottom w:val="single" w:sz="4" w:space="0" w:color="auto"/>
              <w:right w:val="single" w:sz="4" w:space="0" w:color="auto"/>
            </w:tcBorders>
            <w:hideMark/>
          </w:tcPr>
          <w:p w:rsidR="00A82064" w:rsidRPr="003D3EAB" w:rsidRDefault="00A82064" w:rsidP="00A82064">
            <w:pPr>
              <w:spacing w:after="0" w:line="240" w:lineRule="auto"/>
              <w:jc w:val="both"/>
              <w:rPr>
                <w:rFonts w:ascii="Arial" w:hAnsi="Arial" w:cs="Arial"/>
                <w:sz w:val="20"/>
                <w:szCs w:val="20"/>
              </w:rPr>
            </w:pPr>
            <w:bookmarkStart w:id="0" w:name="_GoBack"/>
            <w:bookmarkEnd w:id="0"/>
            <w:r>
              <w:rPr>
                <w:rFonts w:ascii="Arial" w:hAnsi="Arial" w:cs="Arial"/>
                <w:sz w:val="20"/>
                <w:szCs w:val="20"/>
              </w:rPr>
              <w:t>V</w:t>
            </w:r>
          </w:p>
        </w:tc>
        <w:tc>
          <w:tcPr>
            <w:tcW w:w="1667" w:type="dxa"/>
            <w:tcBorders>
              <w:top w:val="single" w:sz="4" w:space="0" w:color="auto"/>
              <w:left w:val="single" w:sz="4" w:space="0" w:color="auto"/>
              <w:bottom w:val="single" w:sz="4" w:space="0" w:color="auto"/>
              <w:right w:val="single" w:sz="4" w:space="0" w:color="auto"/>
            </w:tcBorders>
            <w:hideMark/>
          </w:tcPr>
          <w:p w:rsidR="00A82064" w:rsidRDefault="00A82064" w:rsidP="003D3EAB">
            <w:pPr>
              <w:spacing w:after="0" w:line="240" w:lineRule="auto"/>
              <w:rPr>
                <w:rFonts w:ascii="Arial" w:hAnsi="Arial" w:cs="Arial"/>
                <w:sz w:val="20"/>
                <w:szCs w:val="20"/>
              </w:rPr>
            </w:pPr>
            <w:r>
              <w:rPr>
                <w:rFonts w:ascii="Arial" w:hAnsi="Arial" w:cs="Arial"/>
                <w:sz w:val="20"/>
                <w:szCs w:val="20"/>
              </w:rPr>
              <w:t xml:space="preserve">Výzkumná zpráva </w:t>
            </w:r>
            <w:r w:rsidR="003D3EAB">
              <w:rPr>
                <w:rFonts w:ascii="Arial" w:hAnsi="Arial" w:cs="Arial"/>
                <w:sz w:val="20"/>
                <w:szCs w:val="20"/>
              </w:rPr>
              <w:t>(</w:t>
            </w:r>
            <w:r>
              <w:rPr>
                <w:rFonts w:ascii="Arial" w:hAnsi="Arial" w:cs="Arial"/>
                <w:sz w:val="20"/>
                <w:szCs w:val="20"/>
              </w:rPr>
              <w:t>obsahující utajované informace</w:t>
            </w:r>
            <w:r w:rsidR="003D3EAB">
              <w:rPr>
                <w:rFonts w:ascii="Arial" w:hAnsi="Arial" w:cs="Arial"/>
                <w:sz w:val="20"/>
                <w:szCs w:val="20"/>
              </w:rPr>
              <w:t>)</w:t>
            </w:r>
          </w:p>
        </w:tc>
        <w:tc>
          <w:tcPr>
            <w:tcW w:w="5075" w:type="dxa"/>
            <w:tcBorders>
              <w:top w:val="single" w:sz="4" w:space="0" w:color="auto"/>
              <w:left w:val="single" w:sz="4" w:space="0" w:color="auto"/>
              <w:bottom w:val="single" w:sz="4" w:space="0" w:color="auto"/>
              <w:right w:val="single" w:sz="4" w:space="0" w:color="auto"/>
            </w:tcBorders>
            <w:hideMark/>
          </w:tcPr>
          <w:p w:rsidR="00A82064" w:rsidRPr="003D3EAB" w:rsidRDefault="003D3EAB" w:rsidP="00A82064">
            <w:pPr>
              <w:pStyle w:val="Default"/>
              <w:jc w:val="both"/>
              <w:rPr>
                <w:rFonts w:ascii="Arial" w:hAnsi="Arial" w:cs="Arial"/>
                <w:sz w:val="20"/>
                <w:szCs w:val="20"/>
              </w:rPr>
            </w:pPr>
            <w:r w:rsidRPr="003D3EAB">
              <w:rPr>
                <w:rFonts w:ascii="Arial" w:hAnsi="Arial" w:cs="Arial"/>
                <w:sz w:val="20"/>
                <w:szCs w:val="20"/>
              </w:rPr>
              <w:t>Výsledek „Výzkumná zpráva“ realizoval původní výsledek výzkumu, vývoje a inovací, které byly uskutečněny autorem nebo týmem, jehož byl autor členem. Jedná se o takový výsledek, který byl uplatněn v souladu s § 4 písm. g) Nařízení vlády č. 397/2009 Sb., obsahujícím utajované informace podle zvláštního právního předpisu (např. zákon č. 148/1998 Sb., o ochraně utajovaných skutečností a o změně některých zákonů, ve znění pozdějších předpisů, zákon č. 412/2005 Sb., o ochraně utajovaných informací a o bezpečnostní způsobilosti, ve znění pozdějších předpisů, § 27 zákona č. 240/2000 Sb., o krizovém řízení).</w:t>
            </w:r>
            <w:r w:rsidR="00A82064" w:rsidRPr="003D3EAB">
              <w:rPr>
                <w:rFonts w:ascii="Arial" w:hAnsi="Arial" w:cs="Arial"/>
                <w:sz w:val="20"/>
                <w:szCs w:val="20"/>
              </w:rPr>
              <w:t xml:space="preserve"> </w:t>
            </w:r>
          </w:p>
        </w:tc>
        <w:tc>
          <w:tcPr>
            <w:tcW w:w="816"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3D3EAB">
        <w:tc>
          <w:tcPr>
            <w:tcW w:w="1190"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V</w:t>
            </w:r>
            <w:r>
              <w:rPr>
                <w:rFonts w:ascii="Arial" w:hAnsi="Arial" w:cs="Arial"/>
                <w:sz w:val="20"/>
                <w:szCs w:val="20"/>
                <w:vertAlign w:val="subscript"/>
              </w:rPr>
              <w:t>souhrn</w:t>
            </w:r>
          </w:p>
        </w:tc>
        <w:tc>
          <w:tcPr>
            <w:tcW w:w="1667" w:type="dxa"/>
            <w:tcBorders>
              <w:top w:val="single" w:sz="4" w:space="0" w:color="auto"/>
              <w:left w:val="single" w:sz="4" w:space="0" w:color="auto"/>
              <w:bottom w:val="single" w:sz="4" w:space="0" w:color="auto"/>
              <w:right w:val="single" w:sz="4" w:space="0" w:color="auto"/>
            </w:tcBorders>
            <w:hideMark/>
          </w:tcPr>
          <w:p w:rsidR="00A82064" w:rsidRDefault="003D3EAB" w:rsidP="003D3EAB">
            <w:pPr>
              <w:spacing w:after="0" w:line="240" w:lineRule="auto"/>
              <w:rPr>
                <w:rFonts w:ascii="Arial" w:hAnsi="Arial" w:cs="Arial"/>
                <w:sz w:val="20"/>
                <w:szCs w:val="20"/>
              </w:rPr>
            </w:pPr>
            <w:r>
              <w:rPr>
                <w:rFonts w:ascii="Arial" w:hAnsi="Arial" w:cs="Arial"/>
                <w:sz w:val="20"/>
                <w:szCs w:val="20"/>
              </w:rPr>
              <w:t>Souhrnná v</w:t>
            </w:r>
            <w:r w:rsidR="00A82064">
              <w:rPr>
                <w:rFonts w:ascii="Arial" w:hAnsi="Arial" w:cs="Arial"/>
                <w:sz w:val="20"/>
                <w:szCs w:val="20"/>
              </w:rPr>
              <w:t xml:space="preserve">ýzkumná zpráva </w:t>
            </w:r>
          </w:p>
        </w:tc>
        <w:tc>
          <w:tcPr>
            <w:tcW w:w="5075" w:type="dxa"/>
            <w:tcBorders>
              <w:top w:val="single" w:sz="4" w:space="0" w:color="auto"/>
              <w:left w:val="single" w:sz="4" w:space="0" w:color="auto"/>
              <w:bottom w:val="single" w:sz="4" w:space="0" w:color="auto"/>
              <w:right w:val="single" w:sz="4" w:space="0" w:color="auto"/>
            </w:tcBorders>
            <w:hideMark/>
          </w:tcPr>
          <w:p w:rsidR="00A82064" w:rsidRPr="003D3EAB" w:rsidRDefault="003D3EAB" w:rsidP="00A82064">
            <w:pPr>
              <w:pStyle w:val="Default"/>
              <w:jc w:val="both"/>
              <w:rPr>
                <w:rFonts w:ascii="Arial" w:hAnsi="Arial" w:cs="Arial"/>
                <w:sz w:val="20"/>
                <w:szCs w:val="20"/>
              </w:rPr>
            </w:pPr>
            <w:r w:rsidRPr="003D3EAB">
              <w:rPr>
                <w:rFonts w:ascii="Arial" w:hAnsi="Arial" w:cs="Arial"/>
                <w:sz w:val="20"/>
                <w:szCs w:val="20"/>
              </w:rPr>
              <w:t>Souhrnná výzkumná zpráva Vsouhrn může být jedním z vyžádaných výsledků projektu aplikovaného výzkumu s účelovým nebo smluvním financováním. Souhrnná výzkumná zpráva shrnuje výsledky řešení projektu a vyjadřuje se k naplnění stanovených cílů projektu a musí být poskytovatelem vyžádána nebo potvrzena protokolem o převzetí výsledku ze strany objednatele.</w:t>
            </w:r>
          </w:p>
        </w:tc>
        <w:tc>
          <w:tcPr>
            <w:tcW w:w="816"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bl>
    <w:p w:rsidR="003D3EAB" w:rsidRDefault="003D3EAB" w:rsidP="003D3EAB">
      <w:pPr>
        <w:spacing w:after="0" w:line="240" w:lineRule="auto"/>
        <w:jc w:val="both"/>
        <w:rPr>
          <w:rFonts w:ascii="Arial" w:hAnsi="Arial" w:cs="Arial"/>
          <w:b/>
        </w:rPr>
      </w:pPr>
    </w:p>
    <w:p w:rsidR="003D3EAB" w:rsidRDefault="003D3EAB" w:rsidP="003D3EAB">
      <w:pPr>
        <w:spacing w:after="0" w:line="240" w:lineRule="auto"/>
        <w:jc w:val="both"/>
        <w:rPr>
          <w:rFonts w:ascii="Arial" w:hAnsi="Arial" w:cs="Arial"/>
          <w:b/>
        </w:rPr>
      </w:pPr>
    </w:p>
    <w:p w:rsidR="003D3EAB" w:rsidRDefault="003D3EAB" w:rsidP="003D3EAB">
      <w:pPr>
        <w:spacing w:after="0" w:line="240" w:lineRule="auto"/>
        <w:jc w:val="both"/>
        <w:rPr>
          <w:rFonts w:ascii="Arial" w:hAnsi="Arial" w:cs="Arial"/>
          <w:b/>
        </w:rPr>
      </w:pPr>
    </w:p>
    <w:p w:rsidR="003D3EAB" w:rsidRDefault="003D3EAB" w:rsidP="003D3EAB">
      <w:pPr>
        <w:spacing w:after="0" w:line="240" w:lineRule="auto"/>
        <w:jc w:val="both"/>
        <w:rPr>
          <w:rFonts w:ascii="Arial" w:hAnsi="Arial" w:cs="Arial"/>
          <w:b/>
        </w:rPr>
      </w:pPr>
    </w:p>
    <w:p w:rsidR="003D3EAB" w:rsidRDefault="003D3EAB" w:rsidP="003D3EAB">
      <w:pPr>
        <w:spacing w:after="0" w:line="240" w:lineRule="auto"/>
        <w:jc w:val="both"/>
        <w:rPr>
          <w:rFonts w:ascii="Arial" w:hAnsi="Arial" w:cs="Arial"/>
          <w:b/>
        </w:rPr>
      </w:pPr>
    </w:p>
    <w:p w:rsidR="00A82064" w:rsidRDefault="00A82064" w:rsidP="00A82064">
      <w:pPr>
        <w:numPr>
          <w:ilvl w:val="0"/>
          <w:numId w:val="20"/>
        </w:numPr>
        <w:tabs>
          <w:tab w:val="num" w:pos="540"/>
        </w:tabs>
        <w:spacing w:after="0" w:line="240" w:lineRule="auto"/>
        <w:ind w:left="540" w:hanging="540"/>
        <w:jc w:val="both"/>
        <w:rPr>
          <w:rFonts w:ascii="Arial" w:hAnsi="Arial" w:cs="Arial"/>
          <w:b/>
        </w:rPr>
      </w:pPr>
      <w:r>
        <w:rPr>
          <w:rFonts w:ascii="Arial" w:hAnsi="Arial" w:cs="Arial"/>
          <w:b/>
        </w:rPr>
        <w:t xml:space="preserve">Popis požadovaných výsledků </w:t>
      </w:r>
      <w:r>
        <w:rPr>
          <w:rFonts w:ascii="Arial" w:hAnsi="Arial" w:cs="Arial"/>
        </w:rPr>
        <w:t>(podkapitoly zopakujte za každý požadovaný výsledek podle bodu 5.)</w:t>
      </w:r>
    </w:p>
    <w:p w:rsidR="00A82064" w:rsidRDefault="00A82064" w:rsidP="00A82064">
      <w:pPr>
        <w:numPr>
          <w:ilvl w:val="1"/>
          <w:numId w:val="19"/>
        </w:numPr>
        <w:spacing w:after="0" w:line="240" w:lineRule="auto"/>
        <w:jc w:val="both"/>
        <w:rPr>
          <w:rFonts w:ascii="Arial" w:hAnsi="Arial" w:cs="Arial"/>
          <w:b/>
        </w:rPr>
      </w:pPr>
      <w:r>
        <w:rPr>
          <w:rFonts w:ascii="Arial" w:hAnsi="Arial" w:cs="Arial"/>
          <w:b/>
        </w:rPr>
        <w:t>Název výsledku</w:t>
      </w:r>
    </w:p>
    <w:p w:rsidR="00A82064" w:rsidRDefault="00A82064" w:rsidP="00A82064">
      <w:pPr>
        <w:numPr>
          <w:ilvl w:val="1"/>
          <w:numId w:val="19"/>
        </w:numPr>
        <w:spacing w:after="0" w:line="240" w:lineRule="auto"/>
        <w:jc w:val="both"/>
        <w:rPr>
          <w:rFonts w:ascii="Arial" w:hAnsi="Arial" w:cs="Arial"/>
          <w:b/>
        </w:rPr>
      </w:pPr>
      <w:r>
        <w:rPr>
          <w:rFonts w:ascii="Arial" w:hAnsi="Arial" w:cs="Arial"/>
          <w:b/>
        </w:rPr>
        <w:t>Popis výsledku a jeho požadovaných funkcionalit/charakteristik</w:t>
      </w:r>
    </w:p>
    <w:p w:rsidR="00A82064" w:rsidRDefault="00A82064" w:rsidP="00A82064">
      <w:pPr>
        <w:numPr>
          <w:ilvl w:val="1"/>
          <w:numId w:val="19"/>
        </w:numPr>
        <w:spacing w:after="0" w:line="240" w:lineRule="auto"/>
        <w:jc w:val="both"/>
        <w:rPr>
          <w:rFonts w:ascii="Arial" w:hAnsi="Arial" w:cs="Arial"/>
          <w:b/>
        </w:rPr>
      </w:pPr>
      <w:r>
        <w:rPr>
          <w:rFonts w:ascii="Arial" w:hAnsi="Arial" w:cs="Arial"/>
          <w:b/>
        </w:rPr>
        <w:t>Akceptační kritéria a způsob jejich ověření</w:t>
      </w:r>
    </w:p>
    <w:p w:rsidR="00A82064" w:rsidRDefault="00A82064" w:rsidP="00A82064">
      <w:pPr>
        <w:numPr>
          <w:ilvl w:val="1"/>
          <w:numId w:val="19"/>
        </w:numPr>
        <w:spacing w:after="0" w:line="240" w:lineRule="auto"/>
        <w:jc w:val="both"/>
        <w:rPr>
          <w:rFonts w:ascii="Arial" w:hAnsi="Arial" w:cs="Arial"/>
          <w:b/>
        </w:rPr>
      </w:pPr>
      <w:r>
        <w:rPr>
          <w:rFonts w:ascii="Arial" w:hAnsi="Arial" w:cs="Arial"/>
          <w:b/>
        </w:rPr>
        <w:t xml:space="preserve">Způsob využití výsledku </w:t>
      </w:r>
      <w:r>
        <w:rPr>
          <w:rFonts w:ascii="Arial" w:hAnsi="Arial" w:cs="Arial"/>
        </w:rPr>
        <w:t>(tj. rozsah implementace a rozsah využitelnosti)</w:t>
      </w:r>
    </w:p>
    <w:p w:rsidR="00A82064" w:rsidRDefault="00A82064" w:rsidP="00A82064">
      <w:pPr>
        <w:spacing w:after="0" w:line="240" w:lineRule="auto"/>
        <w:jc w:val="both"/>
        <w:rPr>
          <w:rFonts w:ascii="Arial" w:hAnsi="Arial" w:cs="Arial"/>
          <w:b/>
        </w:rPr>
      </w:pPr>
    </w:p>
    <w:p w:rsidR="00A82064" w:rsidRDefault="00A82064" w:rsidP="00A82064">
      <w:pPr>
        <w:numPr>
          <w:ilvl w:val="0"/>
          <w:numId w:val="20"/>
        </w:numPr>
        <w:tabs>
          <w:tab w:val="num" w:pos="540"/>
        </w:tabs>
        <w:spacing w:after="0" w:line="240" w:lineRule="auto"/>
        <w:ind w:left="540" w:hanging="540"/>
        <w:jc w:val="both"/>
        <w:rPr>
          <w:rFonts w:ascii="Arial" w:hAnsi="Arial" w:cs="Arial"/>
          <w:b/>
        </w:rPr>
      </w:pPr>
      <w:r>
        <w:rPr>
          <w:rFonts w:ascii="Arial" w:hAnsi="Arial" w:cs="Arial"/>
          <w:b/>
        </w:rPr>
        <w:t>Vazba na dříve realizované výzkumné aktivity (projekty účelové podpory, veřejné zakázky) a případné inovační strategie předkladatele</w:t>
      </w:r>
    </w:p>
    <w:p w:rsidR="00A82064" w:rsidRDefault="00A82064" w:rsidP="00A82064">
      <w:pPr>
        <w:spacing w:after="0" w:line="240" w:lineRule="auto"/>
        <w:ind w:left="540"/>
        <w:jc w:val="both"/>
        <w:rPr>
          <w:rFonts w:ascii="Arial" w:hAnsi="Arial" w:cs="Arial"/>
          <w:i/>
        </w:rPr>
      </w:pPr>
      <w:r>
        <w:rPr>
          <w:rFonts w:ascii="Arial" w:hAnsi="Arial" w:cs="Arial"/>
          <w:i/>
        </w:rPr>
        <w:t xml:space="preserve">Předkladatel uvede seznam dříve realizovaných výzkumných aktivit (bez ohledu na původ finančních prostředků) na něž návrh navazuje. Pokud je návrh navázán na oficiální dokument, který má charakter inovační strategie, uvede předkladatel i odkaz na tento dokument. </w:t>
      </w:r>
    </w:p>
    <w:p w:rsidR="00A82064" w:rsidRDefault="00A82064" w:rsidP="00A82064">
      <w:pPr>
        <w:spacing w:after="0" w:line="240" w:lineRule="auto"/>
        <w:jc w:val="both"/>
        <w:rPr>
          <w:rFonts w:ascii="Arial" w:hAnsi="Arial" w:cs="Arial"/>
          <w:b/>
        </w:rPr>
      </w:pPr>
    </w:p>
    <w:p w:rsidR="00A82064" w:rsidRDefault="00A82064" w:rsidP="00A82064">
      <w:pPr>
        <w:numPr>
          <w:ilvl w:val="0"/>
          <w:numId w:val="20"/>
        </w:numPr>
        <w:tabs>
          <w:tab w:val="num" w:pos="540"/>
        </w:tabs>
        <w:spacing w:after="0" w:line="240" w:lineRule="auto"/>
        <w:ind w:left="540" w:hanging="540"/>
        <w:jc w:val="both"/>
        <w:rPr>
          <w:rFonts w:ascii="Arial" w:hAnsi="Arial" w:cs="Arial"/>
          <w:b/>
        </w:rPr>
      </w:pPr>
      <w:r>
        <w:rPr>
          <w:rFonts w:ascii="Arial" w:hAnsi="Arial" w:cs="Arial"/>
          <w:b/>
        </w:rPr>
        <w:t>Hodnocení přínosu projektu</w:t>
      </w:r>
    </w:p>
    <w:p w:rsidR="00A82064" w:rsidRDefault="00A82064" w:rsidP="00A82064">
      <w:pPr>
        <w:numPr>
          <w:ilvl w:val="0"/>
          <w:numId w:val="25"/>
        </w:numPr>
        <w:spacing w:after="0" w:line="240" w:lineRule="auto"/>
        <w:jc w:val="both"/>
        <w:rPr>
          <w:rFonts w:ascii="Arial" w:hAnsi="Arial" w:cs="Arial"/>
          <w:b/>
        </w:rPr>
      </w:pPr>
      <w:r>
        <w:rPr>
          <w:rFonts w:ascii="Arial" w:hAnsi="Arial" w:cs="Arial"/>
          <w:b/>
        </w:rPr>
        <w:t>Absolutní přínos</w:t>
      </w:r>
    </w:p>
    <w:p w:rsidR="00A82064" w:rsidRDefault="00A82064" w:rsidP="00A82064">
      <w:pPr>
        <w:spacing w:after="0" w:line="240" w:lineRule="auto"/>
        <w:ind w:left="540"/>
        <w:jc w:val="both"/>
        <w:rPr>
          <w:rFonts w:ascii="Arial" w:hAnsi="Arial" w:cs="Arial"/>
          <w:i/>
        </w:rPr>
      </w:pPr>
      <w:r>
        <w:rPr>
          <w:rFonts w:ascii="Arial" w:hAnsi="Arial" w:cs="Arial"/>
          <w:i/>
        </w:rPr>
        <w:lastRenderedPageBreak/>
        <w:t>Hodnocení absolutního přínosu znamená, že u každé potřeby předkladatel individuálně zváží míru potřebnosti pro naplňování základního poslání, které mu v bezpečnostním systému přísluší (mise). Vhodnou variantu označte křížkem v posledním sloupci.</w:t>
      </w:r>
    </w:p>
    <w:p w:rsidR="00A82064" w:rsidRDefault="00A82064" w:rsidP="00A82064">
      <w:pPr>
        <w:spacing w:after="0" w:line="240" w:lineRule="auto"/>
        <w:ind w:left="540"/>
        <w:jc w:val="both"/>
        <w:rPr>
          <w:rFonts w:ascii="Arial" w:hAnsi="Arial" w:cs="Arial"/>
          <w:i/>
        </w:rPr>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1950"/>
        <w:gridCol w:w="5501"/>
        <w:gridCol w:w="519"/>
      </w:tblGrid>
      <w:tr w:rsidR="00A82064" w:rsidTr="00A82064">
        <w:tc>
          <w:tcPr>
            <w:tcW w:w="561" w:type="dxa"/>
            <w:tcBorders>
              <w:top w:val="single" w:sz="4" w:space="0" w:color="auto"/>
              <w:left w:val="single" w:sz="4" w:space="0" w:color="auto"/>
              <w:bottom w:val="single" w:sz="4" w:space="0" w:color="auto"/>
              <w:right w:val="single" w:sz="4" w:space="0" w:color="auto"/>
            </w:tcBorders>
            <w:vAlign w:val="center"/>
            <w:hideMark/>
          </w:tcPr>
          <w:p w:rsidR="00A82064" w:rsidRDefault="00A82064" w:rsidP="00A82064">
            <w:pPr>
              <w:spacing w:after="0" w:line="240" w:lineRule="auto"/>
              <w:jc w:val="center"/>
              <w:rPr>
                <w:rFonts w:ascii="Arial" w:hAnsi="Arial" w:cs="Arial"/>
                <w:sz w:val="20"/>
                <w:szCs w:val="20"/>
              </w:rPr>
            </w:pPr>
            <w:r>
              <w:rPr>
                <w:rFonts w:ascii="Arial" w:hAnsi="Arial" w:cs="Arial"/>
                <w:sz w:val="20"/>
                <w:szCs w:val="20"/>
              </w:rPr>
              <w:t>A</w:t>
            </w:r>
          </w:p>
        </w:tc>
        <w:tc>
          <w:tcPr>
            <w:tcW w:w="1984" w:type="dxa"/>
            <w:tcBorders>
              <w:top w:val="single" w:sz="4" w:space="0" w:color="auto"/>
              <w:left w:val="single" w:sz="4" w:space="0" w:color="auto"/>
              <w:bottom w:val="single" w:sz="4" w:space="0" w:color="auto"/>
              <w:right w:val="single" w:sz="4" w:space="0" w:color="auto"/>
            </w:tcBorders>
            <w:vAlign w:val="center"/>
            <w:hideMark/>
          </w:tcPr>
          <w:p w:rsidR="00A82064" w:rsidRDefault="00A82064" w:rsidP="00A82064">
            <w:pPr>
              <w:spacing w:after="0" w:line="240" w:lineRule="auto"/>
              <w:jc w:val="center"/>
              <w:rPr>
                <w:rFonts w:ascii="Arial" w:hAnsi="Arial" w:cs="Arial"/>
                <w:sz w:val="20"/>
                <w:szCs w:val="20"/>
              </w:rPr>
            </w:pPr>
            <w:r>
              <w:rPr>
                <w:rFonts w:ascii="Arial" w:hAnsi="Arial" w:cs="Arial"/>
                <w:sz w:val="20"/>
                <w:szCs w:val="20"/>
              </w:rPr>
              <w:t>kritická potřeba pro činnost a naplňování mise</w:t>
            </w:r>
          </w:p>
        </w:tc>
        <w:tc>
          <w:tcPr>
            <w:tcW w:w="5670"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Vzhledem k současnému stavu a předpokládanému vývoji bezpečnostního prostředí dojde ke kolapsu základních funkcí předkladatele, nebo k plošnému výpadku jeho klíčových schopností uživatele nebo bezpečnostního systému, pokud nebude projekt realizován.</w:t>
            </w:r>
          </w:p>
        </w:tc>
        <w:tc>
          <w:tcPr>
            <w:tcW w:w="533"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A82064">
        <w:tc>
          <w:tcPr>
            <w:tcW w:w="561" w:type="dxa"/>
            <w:tcBorders>
              <w:top w:val="single" w:sz="4" w:space="0" w:color="auto"/>
              <w:left w:val="single" w:sz="4" w:space="0" w:color="auto"/>
              <w:bottom w:val="single" w:sz="4" w:space="0" w:color="auto"/>
              <w:right w:val="single" w:sz="4" w:space="0" w:color="auto"/>
            </w:tcBorders>
            <w:vAlign w:val="center"/>
            <w:hideMark/>
          </w:tcPr>
          <w:p w:rsidR="00A82064" w:rsidRDefault="00A82064" w:rsidP="00A82064">
            <w:pPr>
              <w:spacing w:after="0" w:line="240" w:lineRule="auto"/>
              <w:jc w:val="center"/>
              <w:rPr>
                <w:rFonts w:ascii="Arial" w:hAnsi="Arial" w:cs="Arial"/>
                <w:sz w:val="20"/>
                <w:szCs w:val="20"/>
              </w:rPr>
            </w:pPr>
            <w:r>
              <w:rPr>
                <w:rFonts w:ascii="Arial" w:hAnsi="Arial" w:cs="Arial"/>
                <w:sz w:val="20"/>
                <w:szCs w:val="20"/>
              </w:rPr>
              <w:t>B</w:t>
            </w:r>
          </w:p>
        </w:tc>
        <w:tc>
          <w:tcPr>
            <w:tcW w:w="1984" w:type="dxa"/>
            <w:tcBorders>
              <w:top w:val="single" w:sz="4" w:space="0" w:color="auto"/>
              <w:left w:val="single" w:sz="4" w:space="0" w:color="auto"/>
              <w:bottom w:val="single" w:sz="4" w:space="0" w:color="auto"/>
              <w:right w:val="single" w:sz="4" w:space="0" w:color="auto"/>
            </w:tcBorders>
            <w:vAlign w:val="center"/>
            <w:hideMark/>
          </w:tcPr>
          <w:p w:rsidR="00A82064" w:rsidRDefault="00A82064" w:rsidP="00A82064">
            <w:pPr>
              <w:spacing w:after="0" w:line="240" w:lineRule="auto"/>
              <w:jc w:val="center"/>
              <w:rPr>
                <w:rFonts w:ascii="Arial" w:hAnsi="Arial" w:cs="Arial"/>
                <w:sz w:val="20"/>
                <w:szCs w:val="20"/>
              </w:rPr>
            </w:pPr>
            <w:r>
              <w:rPr>
                <w:rFonts w:ascii="Arial" w:hAnsi="Arial" w:cs="Arial"/>
                <w:sz w:val="20"/>
                <w:szCs w:val="20"/>
              </w:rPr>
              <w:t>nutný předpoklad pro činnost a naplňování mise</w:t>
            </w:r>
          </w:p>
        </w:tc>
        <w:tc>
          <w:tcPr>
            <w:tcW w:w="5670"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Vzhledem k současnému stavu a předpokládanému vývoji bezpečnostního prostředí lze předpokládat opakované výpadky klíčových schopností uživatele, nebo omezení rozsahu poskytovaných služeb, pokud nebude projekt realizován.</w:t>
            </w:r>
          </w:p>
        </w:tc>
        <w:tc>
          <w:tcPr>
            <w:tcW w:w="533"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A82064">
        <w:tc>
          <w:tcPr>
            <w:tcW w:w="561" w:type="dxa"/>
            <w:tcBorders>
              <w:top w:val="single" w:sz="4" w:space="0" w:color="auto"/>
              <w:left w:val="single" w:sz="4" w:space="0" w:color="auto"/>
              <w:bottom w:val="single" w:sz="4" w:space="0" w:color="auto"/>
              <w:right w:val="single" w:sz="4" w:space="0" w:color="auto"/>
            </w:tcBorders>
            <w:vAlign w:val="center"/>
            <w:hideMark/>
          </w:tcPr>
          <w:p w:rsidR="00A82064" w:rsidRDefault="00A82064" w:rsidP="00A82064">
            <w:pPr>
              <w:spacing w:after="0" w:line="240" w:lineRule="auto"/>
              <w:jc w:val="center"/>
              <w:rPr>
                <w:rFonts w:ascii="Arial" w:hAnsi="Arial" w:cs="Arial"/>
                <w:sz w:val="20"/>
                <w:szCs w:val="20"/>
              </w:rPr>
            </w:pPr>
            <w:r>
              <w:rPr>
                <w:rFonts w:ascii="Arial" w:hAnsi="Arial" w:cs="Arial"/>
                <w:sz w:val="20"/>
                <w:szCs w:val="20"/>
              </w:rPr>
              <w:t>C</w:t>
            </w:r>
          </w:p>
        </w:tc>
        <w:tc>
          <w:tcPr>
            <w:tcW w:w="1984" w:type="dxa"/>
            <w:tcBorders>
              <w:top w:val="single" w:sz="4" w:space="0" w:color="auto"/>
              <w:left w:val="single" w:sz="4" w:space="0" w:color="auto"/>
              <w:bottom w:val="single" w:sz="4" w:space="0" w:color="auto"/>
              <w:right w:val="single" w:sz="4" w:space="0" w:color="auto"/>
            </w:tcBorders>
            <w:vAlign w:val="center"/>
            <w:hideMark/>
          </w:tcPr>
          <w:p w:rsidR="00A82064" w:rsidRDefault="00A82064" w:rsidP="00A82064">
            <w:pPr>
              <w:spacing w:after="0" w:line="240" w:lineRule="auto"/>
              <w:jc w:val="center"/>
              <w:rPr>
                <w:rFonts w:ascii="Calibri" w:hAnsi="Calibri"/>
                <w:b/>
                <w:color w:val="000000"/>
              </w:rPr>
            </w:pPr>
            <w:r>
              <w:rPr>
                <w:rFonts w:ascii="Arial" w:hAnsi="Arial" w:cs="Arial"/>
                <w:sz w:val="20"/>
                <w:szCs w:val="20"/>
              </w:rPr>
              <w:t>předpoklad pro rozvoj schopností naplňovat misi</w:t>
            </w:r>
          </w:p>
        </w:tc>
        <w:tc>
          <w:tcPr>
            <w:tcW w:w="5670"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Vzhledem k současnému stavu a předpokládanému vývoji bezpečnostního prostředí umožní realizace projektu uživateli systematicky asimilovat změny a poskytovat klíčové služby v měnícím se kontextu.</w:t>
            </w:r>
          </w:p>
        </w:tc>
        <w:tc>
          <w:tcPr>
            <w:tcW w:w="533"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r w:rsidR="00A82064" w:rsidTr="00A82064">
        <w:tc>
          <w:tcPr>
            <w:tcW w:w="561" w:type="dxa"/>
            <w:tcBorders>
              <w:top w:val="single" w:sz="4" w:space="0" w:color="auto"/>
              <w:left w:val="single" w:sz="4" w:space="0" w:color="auto"/>
              <w:bottom w:val="single" w:sz="4" w:space="0" w:color="auto"/>
              <w:right w:val="single" w:sz="4" w:space="0" w:color="auto"/>
            </w:tcBorders>
            <w:vAlign w:val="center"/>
            <w:hideMark/>
          </w:tcPr>
          <w:p w:rsidR="00A82064" w:rsidRDefault="00A82064" w:rsidP="00A82064">
            <w:pPr>
              <w:spacing w:after="0" w:line="240" w:lineRule="auto"/>
              <w:jc w:val="center"/>
              <w:rPr>
                <w:rFonts w:ascii="Arial" w:hAnsi="Arial" w:cs="Arial"/>
                <w:sz w:val="20"/>
                <w:szCs w:val="20"/>
              </w:rPr>
            </w:pPr>
            <w:r>
              <w:rPr>
                <w:rFonts w:ascii="Arial" w:hAnsi="Arial" w:cs="Arial"/>
                <w:sz w:val="20"/>
                <w:szCs w:val="20"/>
              </w:rPr>
              <w:t>D</w:t>
            </w:r>
          </w:p>
        </w:tc>
        <w:tc>
          <w:tcPr>
            <w:tcW w:w="1984" w:type="dxa"/>
            <w:tcBorders>
              <w:top w:val="single" w:sz="4" w:space="0" w:color="auto"/>
              <w:left w:val="single" w:sz="4" w:space="0" w:color="auto"/>
              <w:bottom w:val="single" w:sz="4" w:space="0" w:color="auto"/>
              <w:right w:val="single" w:sz="4" w:space="0" w:color="auto"/>
            </w:tcBorders>
            <w:vAlign w:val="center"/>
            <w:hideMark/>
          </w:tcPr>
          <w:p w:rsidR="00A82064" w:rsidRDefault="00A82064" w:rsidP="00A82064">
            <w:pPr>
              <w:spacing w:after="0" w:line="240" w:lineRule="auto"/>
              <w:jc w:val="center"/>
              <w:rPr>
                <w:rFonts w:ascii="Arial" w:hAnsi="Arial" w:cs="Arial"/>
                <w:sz w:val="20"/>
                <w:szCs w:val="20"/>
              </w:rPr>
            </w:pPr>
            <w:r>
              <w:rPr>
                <w:rFonts w:ascii="Arial" w:hAnsi="Arial" w:cs="Arial"/>
                <w:sz w:val="20"/>
                <w:szCs w:val="20"/>
              </w:rPr>
              <w:t>podpůrná potřeba</w:t>
            </w:r>
          </w:p>
        </w:tc>
        <w:tc>
          <w:tcPr>
            <w:tcW w:w="5670" w:type="dxa"/>
            <w:tcBorders>
              <w:top w:val="single" w:sz="4" w:space="0" w:color="auto"/>
              <w:left w:val="single" w:sz="4" w:space="0" w:color="auto"/>
              <w:bottom w:val="single" w:sz="4" w:space="0" w:color="auto"/>
              <w:right w:val="single" w:sz="4" w:space="0" w:color="auto"/>
            </w:tcBorders>
            <w:hideMark/>
          </w:tcPr>
          <w:p w:rsidR="00A82064" w:rsidRDefault="00A82064" w:rsidP="00A82064">
            <w:pPr>
              <w:spacing w:after="0" w:line="240" w:lineRule="auto"/>
              <w:jc w:val="both"/>
              <w:rPr>
                <w:rFonts w:ascii="Arial" w:hAnsi="Arial" w:cs="Arial"/>
                <w:sz w:val="20"/>
                <w:szCs w:val="20"/>
              </w:rPr>
            </w:pPr>
            <w:r>
              <w:rPr>
                <w:rFonts w:ascii="Arial" w:hAnsi="Arial" w:cs="Arial"/>
                <w:sz w:val="20"/>
                <w:szCs w:val="20"/>
              </w:rPr>
              <w:t>Vzhledem k současnému stavu a předpokládanému vývoji bezpečnostního prostředí umožní realizace projektu uživateli pružněji a efektivněji vykonávat svěřené úkoly.</w:t>
            </w:r>
          </w:p>
        </w:tc>
        <w:tc>
          <w:tcPr>
            <w:tcW w:w="533" w:type="dxa"/>
            <w:tcBorders>
              <w:top w:val="single" w:sz="4" w:space="0" w:color="auto"/>
              <w:left w:val="single" w:sz="4" w:space="0" w:color="auto"/>
              <w:bottom w:val="single" w:sz="4" w:space="0" w:color="auto"/>
              <w:right w:val="single" w:sz="4" w:space="0" w:color="auto"/>
            </w:tcBorders>
          </w:tcPr>
          <w:p w:rsidR="00A82064" w:rsidRDefault="00A82064" w:rsidP="00A82064">
            <w:pPr>
              <w:spacing w:after="0" w:line="240" w:lineRule="auto"/>
              <w:jc w:val="both"/>
              <w:rPr>
                <w:rFonts w:ascii="Arial" w:hAnsi="Arial" w:cs="Arial"/>
                <w:sz w:val="20"/>
                <w:szCs w:val="20"/>
              </w:rPr>
            </w:pPr>
          </w:p>
        </w:tc>
      </w:tr>
    </w:tbl>
    <w:p w:rsidR="00A82064" w:rsidRDefault="00A82064" w:rsidP="00A82064">
      <w:pPr>
        <w:spacing w:after="0" w:line="240" w:lineRule="auto"/>
        <w:ind w:left="540"/>
        <w:jc w:val="both"/>
        <w:rPr>
          <w:rFonts w:ascii="Arial" w:hAnsi="Arial" w:cs="Arial"/>
          <w:i/>
        </w:rPr>
      </w:pPr>
    </w:p>
    <w:p w:rsidR="00A82064" w:rsidRDefault="00A82064" w:rsidP="00A82064">
      <w:pPr>
        <w:numPr>
          <w:ilvl w:val="0"/>
          <w:numId w:val="25"/>
        </w:numPr>
        <w:spacing w:after="0" w:line="240" w:lineRule="auto"/>
        <w:jc w:val="both"/>
        <w:rPr>
          <w:rFonts w:ascii="Arial" w:hAnsi="Arial" w:cs="Arial"/>
          <w:b/>
        </w:rPr>
      </w:pPr>
      <w:r>
        <w:rPr>
          <w:rFonts w:ascii="Arial" w:hAnsi="Arial" w:cs="Arial"/>
          <w:b/>
        </w:rPr>
        <w:t>Relativní přínos</w:t>
      </w:r>
    </w:p>
    <w:p w:rsidR="00A82064" w:rsidRDefault="00A82064" w:rsidP="00A82064">
      <w:pPr>
        <w:spacing w:after="0" w:line="240" w:lineRule="auto"/>
        <w:ind w:left="540"/>
        <w:jc w:val="both"/>
        <w:rPr>
          <w:rFonts w:ascii="Arial" w:hAnsi="Arial" w:cs="Arial"/>
          <w:i/>
        </w:rPr>
      </w:pPr>
      <w:r>
        <w:rPr>
          <w:rFonts w:ascii="Arial" w:hAnsi="Arial" w:cs="Arial"/>
          <w:i/>
        </w:rPr>
        <w:t xml:space="preserve">Relativní přínos charakterizuje pozici projektu v preferenční řadě předkladatele, tj. pořadí projektů od nejvíce žádaného po nejméně žádaný. </w:t>
      </w:r>
      <w:r>
        <w:rPr>
          <w:rFonts w:ascii="Arial" w:hAnsi="Arial" w:cs="Arial"/>
          <w:i/>
          <w:u w:val="single"/>
        </w:rPr>
        <w:t>Toto ucelené pořadí všech předkládaných potřeb bude předáno v samostatné tabulce podle vzoru v příloze.</w:t>
      </w:r>
      <w:r>
        <w:rPr>
          <w:rFonts w:ascii="Arial" w:hAnsi="Arial" w:cs="Arial"/>
          <w:i/>
        </w:rPr>
        <w:t xml:space="preserve"> </w:t>
      </w:r>
    </w:p>
    <w:p w:rsidR="00A82064" w:rsidRDefault="00A82064" w:rsidP="00A82064">
      <w:pPr>
        <w:spacing w:after="0" w:line="240" w:lineRule="auto"/>
        <w:jc w:val="both"/>
        <w:rPr>
          <w:rFonts w:ascii="Arial" w:hAnsi="Arial" w:cs="Arial"/>
          <w:b/>
        </w:rPr>
      </w:pPr>
    </w:p>
    <w:p w:rsidR="00A82064" w:rsidRDefault="00A82064" w:rsidP="00A82064">
      <w:pPr>
        <w:numPr>
          <w:ilvl w:val="0"/>
          <w:numId w:val="20"/>
        </w:numPr>
        <w:tabs>
          <w:tab w:val="num" w:pos="540"/>
        </w:tabs>
        <w:spacing w:after="0" w:line="240" w:lineRule="auto"/>
        <w:ind w:left="540" w:hanging="540"/>
        <w:jc w:val="both"/>
        <w:rPr>
          <w:rFonts w:ascii="Arial" w:hAnsi="Arial" w:cs="Arial"/>
          <w:b/>
        </w:rPr>
      </w:pPr>
      <w:r>
        <w:rPr>
          <w:rFonts w:ascii="Arial" w:hAnsi="Arial" w:cs="Arial"/>
          <w:b/>
        </w:rPr>
        <w:t xml:space="preserve">Harmonogram činností řešení projektu </w:t>
      </w:r>
    </w:p>
    <w:p w:rsidR="00A82064" w:rsidRDefault="00A82064" w:rsidP="00A82064">
      <w:pPr>
        <w:spacing w:after="0" w:line="240" w:lineRule="auto"/>
        <w:ind w:left="540"/>
        <w:jc w:val="both"/>
        <w:rPr>
          <w:rFonts w:ascii="Arial" w:hAnsi="Arial" w:cs="Arial"/>
          <w:i/>
        </w:rPr>
      </w:pPr>
      <w:r>
        <w:rPr>
          <w:rFonts w:ascii="Arial" w:hAnsi="Arial" w:cs="Arial"/>
          <w:i/>
        </w:rPr>
        <w:t>Uvádějte pouze, pokud je objektivně potřeba uvést v zadávací dokumentaci seznam činností nebo zejména výsledků/výstupů pro jednotlivé etapy nebo roky řešení. Harmonogram je standardně předkládán uchazečem v nabídce.</w:t>
      </w:r>
    </w:p>
    <w:p w:rsidR="00A82064" w:rsidRDefault="00A82064" w:rsidP="00A82064">
      <w:pPr>
        <w:tabs>
          <w:tab w:val="num" w:pos="540"/>
        </w:tabs>
        <w:spacing w:after="0" w:line="240" w:lineRule="auto"/>
        <w:jc w:val="both"/>
        <w:rPr>
          <w:rFonts w:ascii="Arial" w:hAnsi="Arial" w:cs="Arial"/>
          <w:i/>
        </w:rPr>
      </w:pPr>
    </w:p>
    <w:p w:rsidR="00A82064" w:rsidRDefault="00A82064" w:rsidP="00A82064">
      <w:pPr>
        <w:numPr>
          <w:ilvl w:val="0"/>
          <w:numId w:val="20"/>
        </w:numPr>
        <w:tabs>
          <w:tab w:val="num" w:pos="540"/>
        </w:tabs>
        <w:spacing w:after="0" w:line="240" w:lineRule="auto"/>
        <w:ind w:left="540" w:hanging="540"/>
        <w:jc w:val="both"/>
        <w:rPr>
          <w:rFonts w:ascii="Arial" w:hAnsi="Arial" w:cs="Arial"/>
          <w:b/>
        </w:rPr>
      </w:pPr>
      <w:r>
        <w:rPr>
          <w:rFonts w:ascii="Arial" w:hAnsi="Arial" w:cs="Arial"/>
          <w:b/>
        </w:rPr>
        <w:t xml:space="preserve">Předpokládaná cena </w:t>
      </w:r>
    </w:p>
    <w:p w:rsidR="00A82064" w:rsidRDefault="00A82064" w:rsidP="00A82064">
      <w:pPr>
        <w:spacing w:after="0" w:line="240" w:lineRule="auto"/>
        <w:ind w:left="540"/>
        <w:jc w:val="both"/>
        <w:rPr>
          <w:rFonts w:ascii="Arial" w:hAnsi="Arial" w:cs="Arial"/>
          <w:i/>
        </w:rPr>
      </w:pPr>
      <w:r>
        <w:rPr>
          <w:rFonts w:ascii="Arial" w:hAnsi="Arial" w:cs="Arial"/>
          <w:i/>
        </w:rPr>
        <w:t xml:space="preserve">Kvalifikovaný odhad a </w:t>
      </w:r>
      <w:r>
        <w:rPr>
          <w:rFonts w:ascii="Arial" w:hAnsi="Arial" w:cs="Arial"/>
          <w:i/>
          <w:u w:val="single"/>
        </w:rPr>
        <w:t>zdůvodnění celkové částky</w:t>
      </w:r>
      <w:r>
        <w:rPr>
          <w:rFonts w:ascii="Arial" w:hAnsi="Arial" w:cs="Arial"/>
          <w:i/>
        </w:rPr>
        <w:t xml:space="preserve"> stanovené na základě údajů a informací o stejném či podobném řešení projektu získaných průzkumem trhu nebo jiným vhodným způsobem. Na řešení projektu lze poskytnout pouze způsobilé náklady:</w:t>
      </w:r>
    </w:p>
    <w:p w:rsidR="00A82064" w:rsidRDefault="00A82064" w:rsidP="00A82064">
      <w:pPr>
        <w:numPr>
          <w:ilvl w:val="0"/>
          <w:numId w:val="26"/>
        </w:numPr>
        <w:spacing w:after="0" w:line="240" w:lineRule="auto"/>
        <w:jc w:val="both"/>
        <w:rPr>
          <w:rFonts w:ascii="Arial" w:hAnsi="Arial" w:cs="Arial"/>
          <w:i/>
        </w:rPr>
      </w:pPr>
      <w:r>
        <w:rPr>
          <w:rFonts w:ascii="Arial" w:hAnsi="Arial" w:cs="Arial"/>
          <w:i/>
        </w:rPr>
        <w:t>osobní náklady nebo výdaje</w:t>
      </w:r>
    </w:p>
    <w:p w:rsidR="00A82064" w:rsidRDefault="00A82064" w:rsidP="00A82064">
      <w:pPr>
        <w:numPr>
          <w:ilvl w:val="0"/>
          <w:numId w:val="26"/>
        </w:numPr>
        <w:spacing w:after="0" w:line="240" w:lineRule="auto"/>
        <w:jc w:val="both"/>
        <w:rPr>
          <w:rFonts w:ascii="Arial" w:hAnsi="Arial" w:cs="Arial"/>
          <w:i/>
        </w:rPr>
      </w:pPr>
      <w:r>
        <w:rPr>
          <w:rFonts w:ascii="Arial" w:hAnsi="Arial" w:cs="Arial"/>
          <w:i/>
        </w:rPr>
        <w:t>náklady nebo výdaje na pořízení hmotného a nehmotného majetku</w:t>
      </w:r>
    </w:p>
    <w:p w:rsidR="00A82064" w:rsidRDefault="00A82064" w:rsidP="00A82064">
      <w:pPr>
        <w:numPr>
          <w:ilvl w:val="0"/>
          <w:numId w:val="26"/>
        </w:numPr>
        <w:spacing w:after="0" w:line="240" w:lineRule="auto"/>
        <w:jc w:val="both"/>
        <w:rPr>
          <w:rFonts w:ascii="Arial" w:hAnsi="Arial" w:cs="Arial"/>
          <w:i/>
        </w:rPr>
      </w:pPr>
      <w:r>
        <w:rPr>
          <w:rFonts w:ascii="Arial" w:hAnsi="Arial" w:cs="Arial"/>
          <w:i/>
        </w:rPr>
        <w:t>další provozní náklady nebo výdaje</w:t>
      </w:r>
    </w:p>
    <w:p w:rsidR="00A82064" w:rsidRDefault="00A82064" w:rsidP="00A82064">
      <w:pPr>
        <w:numPr>
          <w:ilvl w:val="0"/>
          <w:numId w:val="26"/>
        </w:numPr>
        <w:spacing w:after="0" w:line="240" w:lineRule="auto"/>
        <w:jc w:val="both"/>
        <w:rPr>
          <w:rFonts w:ascii="Arial" w:hAnsi="Arial" w:cs="Arial"/>
          <w:i/>
        </w:rPr>
      </w:pPr>
      <w:r>
        <w:rPr>
          <w:rFonts w:ascii="Arial" w:hAnsi="Arial" w:cs="Arial"/>
          <w:i/>
        </w:rPr>
        <w:t>náklady nebo výdaje na služby</w:t>
      </w:r>
    </w:p>
    <w:p w:rsidR="00A82064" w:rsidRDefault="00A82064" w:rsidP="00A82064">
      <w:pPr>
        <w:numPr>
          <w:ilvl w:val="0"/>
          <w:numId w:val="26"/>
        </w:numPr>
        <w:spacing w:after="0" w:line="240" w:lineRule="auto"/>
        <w:jc w:val="both"/>
        <w:rPr>
          <w:rFonts w:ascii="Arial" w:hAnsi="Arial" w:cs="Arial"/>
          <w:i/>
        </w:rPr>
      </w:pPr>
      <w:r>
        <w:rPr>
          <w:rFonts w:ascii="Arial" w:hAnsi="Arial" w:cs="Arial"/>
          <w:i/>
        </w:rPr>
        <w:t xml:space="preserve">doplňkové (režijní) náklady nebo výdaje. </w:t>
      </w:r>
    </w:p>
    <w:p w:rsidR="00A82064" w:rsidRDefault="00A82064" w:rsidP="00A82064">
      <w:pPr>
        <w:spacing w:after="0" w:line="240" w:lineRule="auto"/>
        <w:ind w:left="540"/>
        <w:jc w:val="both"/>
        <w:rPr>
          <w:rFonts w:ascii="Arial" w:hAnsi="Arial" w:cs="Arial"/>
        </w:rPr>
      </w:pPr>
      <w:r>
        <w:rPr>
          <w:rFonts w:ascii="Arial" w:hAnsi="Arial" w:cs="Arial"/>
          <w:i/>
        </w:rPr>
        <w:t>Cenu stanovte s ohledem na rozsah, komplexnost, náročnost řešení a očekávané výsledky</w:t>
      </w:r>
      <w:r>
        <w:rPr>
          <w:rFonts w:ascii="Arial" w:hAnsi="Arial" w:cs="Arial"/>
        </w:rPr>
        <w:t xml:space="preserve">. </w:t>
      </w:r>
    </w:p>
    <w:p w:rsidR="00A82064" w:rsidRDefault="00A82064" w:rsidP="00A82064">
      <w:pPr>
        <w:spacing w:after="0" w:line="240" w:lineRule="auto"/>
        <w:ind w:left="539"/>
        <w:jc w:val="both"/>
        <w:rPr>
          <w:rFonts w:ascii="Arial" w:hAnsi="Arial" w:cs="Arial"/>
          <w:i/>
        </w:rPr>
      </w:pPr>
      <w:r>
        <w:rPr>
          <w:rFonts w:ascii="Arial" w:hAnsi="Arial" w:cs="Arial"/>
          <w:i/>
        </w:rPr>
        <w:t xml:space="preserve">Pro stanovení ceny lze předpokládat jaká konkrétní metoda či postup </w:t>
      </w:r>
      <w:r w:rsidR="00BE6E77">
        <w:rPr>
          <w:rFonts w:ascii="Arial" w:hAnsi="Arial" w:cs="Arial"/>
          <w:i/>
        </w:rPr>
        <w:t>může</w:t>
      </w:r>
      <w:r>
        <w:rPr>
          <w:rFonts w:ascii="Arial" w:hAnsi="Arial" w:cs="Arial"/>
          <w:i/>
        </w:rPr>
        <w:t xml:space="preserve"> být zvolen</w:t>
      </w:r>
      <w:r w:rsidR="00BE6E77">
        <w:rPr>
          <w:rFonts w:ascii="Arial" w:hAnsi="Arial" w:cs="Arial"/>
          <w:i/>
        </w:rPr>
        <w:t>a</w:t>
      </w:r>
      <w:r>
        <w:rPr>
          <w:rFonts w:ascii="Arial" w:hAnsi="Arial" w:cs="Arial"/>
          <w:i/>
        </w:rPr>
        <w:t>. Od toho se pak odvíjí požadavky na počet členů řešitelského týmu (i když mzdové náklady na člověkohodiny mohou být známy), zda je třeba k řešení přístrojová technika, SW atd. (případný řešitel může tento majetek již vlastnit nebo, aby bylo dosaženo co nejlepšího nového výsledku, vzhledem k neustále se rozvíjejícím technologiím, je třeba jej zakoupit). Toto jsou hlavní nákladové položky, které tvoří cenu výzkumného projektu. Pro řešení ovšem mohou být potřebné ještě další náklady jako nákup případných služeb a samozřejmě jsou do ceny zahrnovány také doplňkové náklady (provozní režie).</w:t>
      </w:r>
    </w:p>
    <w:p w:rsidR="00983778" w:rsidRDefault="00983778" w:rsidP="00A82064">
      <w:pPr>
        <w:spacing w:after="0" w:line="240" w:lineRule="auto"/>
        <w:jc w:val="both"/>
        <w:rPr>
          <w:rFonts w:ascii="Arial" w:hAnsi="Arial" w:cs="Arial"/>
          <w:b/>
        </w:rPr>
      </w:pPr>
    </w:p>
    <w:p w:rsidR="003D3EAB" w:rsidRPr="003D3EAB" w:rsidRDefault="003D3EAB" w:rsidP="00A82064">
      <w:pPr>
        <w:spacing w:after="0" w:line="240" w:lineRule="auto"/>
        <w:jc w:val="both"/>
        <w:rPr>
          <w:rFonts w:ascii="Arial" w:hAnsi="Arial" w:cs="Arial"/>
          <w:b/>
        </w:rPr>
      </w:pPr>
    </w:p>
    <w:p w:rsidR="00EC3E78" w:rsidRDefault="00EC3E78" w:rsidP="00346D87">
      <w:pPr>
        <w:spacing w:after="0" w:line="240" w:lineRule="auto"/>
        <w:jc w:val="both"/>
        <w:rPr>
          <w:rFonts w:ascii="Arial" w:hAnsi="Arial" w:cs="Arial"/>
          <w:b/>
        </w:rPr>
      </w:pPr>
      <w:r>
        <w:rPr>
          <w:rFonts w:ascii="Arial" w:hAnsi="Arial" w:cs="Arial"/>
          <w:b/>
        </w:rPr>
        <w:t>Požadavky dle zákona č. 134/2016 Sb., o zadávání veřejných zakázek (dále jen „ZZVZ“)</w:t>
      </w:r>
    </w:p>
    <w:p w:rsidR="00346D87" w:rsidRDefault="00346D87" w:rsidP="00346D87">
      <w:pPr>
        <w:spacing w:after="0" w:line="240" w:lineRule="auto"/>
        <w:jc w:val="both"/>
        <w:rPr>
          <w:rFonts w:ascii="Arial" w:hAnsi="Arial" w:cs="Arial"/>
          <w:b/>
        </w:rPr>
      </w:pPr>
    </w:p>
    <w:p w:rsidR="00A82064" w:rsidRDefault="00A82064" w:rsidP="00A82064">
      <w:pPr>
        <w:numPr>
          <w:ilvl w:val="0"/>
          <w:numId w:val="20"/>
        </w:numPr>
        <w:tabs>
          <w:tab w:val="num" w:pos="540"/>
        </w:tabs>
        <w:spacing w:after="0" w:line="240" w:lineRule="auto"/>
        <w:ind w:left="540" w:hanging="540"/>
        <w:jc w:val="both"/>
        <w:rPr>
          <w:rFonts w:ascii="Arial" w:hAnsi="Arial" w:cs="Arial"/>
          <w:b/>
        </w:rPr>
      </w:pPr>
      <w:r>
        <w:rPr>
          <w:rFonts w:ascii="Arial" w:hAnsi="Arial" w:cs="Arial"/>
          <w:b/>
        </w:rPr>
        <w:t xml:space="preserve">Technické podmínky na výsledky </w:t>
      </w:r>
    </w:p>
    <w:p w:rsidR="00A82064" w:rsidRDefault="00A82064" w:rsidP="00A82064">
      <w:pPr>
        <w:spacing w:after="0" w:line="240" w:lineRule="auto"/>
        <w:ind w:left="540"/>
        <w:jc w:val="both"/>
        <w:rPr>
          <w:rFonts w:ascii="Arial" w:hAnsi="Arial" w:cs="Arial"/>
          <w:i/>
        </w:rPr>
      </w:pPr>
      <w:r>
        <w:rPr>
          <w:rFonts w:ascii="Arial" w:hAnsi="Arial" w:cs="Arial"/>
          <w:i/>
        </w:rPr>
        <w:lastRenderedPageBreak/>
        <w:t xml:space="preserve">Uvádějte, pokud je dle § </w:t>
      </w:r>
      <w:r w:rsidR="00AD749B">
        <w:rPr>
          <w:rFonts w:ascii="Arial" w:hAnsi="Arial" w:cs="Arial"/>
          <w:i/>
        </w:rPr>
        <w:t>89 až 95 ZZVZ</w:t>
      </w:r>
      <w:r>
        <w:rPr>
          <w:rFonts w:ascii="Arial" w:hAnsi="Arial" w:cs="Arial"/>
          <w:i/>
        </w:rPr>
        <w:t xml:space="preserve"> požadujete.</w:t>
      </w:r>
    </w:p>
    <w:p w:rsidR="00A82064" w:rsidRDefault="00A82064" w:rsidP="00A82064">
      <w:pPr>
        <w:spacing w:after="0" w:line="240" w:lineRule="auto"/>
        <w:ind w:left="540"/>
        <w:jc w:val="both"/>
        <w:rPr>
          <w:rFonts w:ascii="Arial" w:hAnsi="Arial" w:cs="Arial"/>
          <w:i/>
        </w:rPr>
      </w:pPr>
    </w:p>
    <w:p w:rsidR="00A82064" w:rsidRDefault="00A26435" w:rsidP="00A82064">
      <w:pPr>
        <w:numPr>
          <w:ilvl w:val="0"/>
          <w:numId w:val="20"/>
        </w:numPr>
        <w:tabs>
          <w:tab w:val="num" w:pos="540"/>
        </w:tabs>
        <w:spacing w:after="0" w:line="240" w:lineRule="auto"/>
        <w:ind w:left="540" w:hanging="540"/>
        <w:jc w:val="both"/>
        <w:rPr>
          <w:rFonts w:ascii="Arial" w:hAnsi="Arial" w:cs="Arial"/>
          <w:b/>
        </w:rPr>
      </w:pPr>
      <w:r>
        <w:rPr>
          <w:rFonts w:ascii="Arial" w:hAnsi="Arial" w:cs="Arial"/>
          <w:b/>
        </w:rPr>
        <w:t>Další</w:t>
      </w:r>
      <w:r w:rsidR="00A82064">
        <w:rPr>
          <w:rFonts w:ascii="Arial" w:hAnsi="Arial" w:cs="Arial"/>
          <w:b/>
        </w:rPr>
        <w:t xml:space="preserve"> požadavky </w:t>
      </w:r>
    </w:p>
    <w:p w:rsidR="00A82064" w:rsidRDefault="00A82064" w:rsidP="00A82064">
      <w:pPr>
        <w:spacing w:after="0" w:line="240" w:lineRule="auto"/>
        <w:ind w:firstLine="540"/>
        <w:jc w:val="both"/>
        <w:rPr>
          <w:rFonts w:ascii="Arial" w:hAnsi="Arial" w:cs="Arial"/>
          <w:i/>
        </w:rPr>
      </w:pPr>
    </w:p>
    <w:p w:rsidR="00A26435" w:rsidRPr="00A26435" w:rsidRDefault="00A26435" w:rsidP="00A26435">
      <w:pPr>
        <w:pStyle w:val="Odstavecseseznamem"/>
        <w:numPr>
          <w:ilvl w:val="0"/>
          <w:numId w:val="27"/>
        </w:numPr>
        <w:tabs>
          <w:tab w:val="clear" w:pos="1068"/>
          <w:tab w:val="num" w:pos="1080"/>
        </w:tabs>
        <w:spacing w:after="0" w:line="240" w:lineRule="auto"/>
        <w:jc w:val="both"/>
        <w:rPr>
          <w:rFonts w:ascii="Arial" w:hAnsi="Arial" w:cs="Arial"/>
          <w:i/>
        </w:rPr>
      </w:pPr>
      <w:r w:rsidRPr="00A26435">
        <w:rPr>
          <w:rFonts w:ascii="Arial" w:hAnsi="Arial" w:cs="Arial"/>
          <w:b/>
        </w:rPr>
        <w:t xml:space="preserve">Požadavky na kvalifikaci </w:t>
      </w:r>
    </w:p>
    <w:p w:rsidR="00A26435" w:rsidRDefault="00A26435" w:rsidP="003D3EAB">
      <w:pPr>
        <w:pStyle w:val="Odstavecseseznamem"/>
        <w:tabs>
          <w:tab w:val="num" w:pos="1080"/>
        </w:tabs>
        <w:spacing w:after="120" w:line="240" w:lineRule="auto"/>
        <w:ind w:left="1134"/>
        <w:contextualSpacing w:val="0"/>
        <w:jc w:val="both"/>
        <w:rPr>
          <w:rFonts w:ascii="Arial" w:hAnsi="Arial" w:cs="Arial"/>
          <w:i/>
        </w:rPr>
      </w:pPr>
      <w:r>
        <w:rPr>
          <w:rFonts w:ascii="Arial" w:hAnsi="Arial" w:cs="Arial"/>
          <w:i/>
        </w:rPr>
        <w:t xml:space="preserve">Nutné stanovit pro </w:t>
      </w:r>
      <w:r w:rsidR="00720302">
        <w:rPr>
          <w:rFonts w:ascii="Arial" w:hAnsi="Arial" w:cs="Arial"/>
          <w:i/>
        </w:rPr>
        <w:t xml:space="preserve">potřeby </w:t>
      </w:r>
      <w:r>
        <w:rPr>
          <w:rFonts w:ascii="Arial" w:hAnsi="Arial" w:cs="Arial"/>
          <w:i/>
        </w:rPr>
        <w:t>zadávací</w:t>
      </w:r>
      <w:r w:rsidR="00720302">
        <w:rPr>
          <w:rFonts w:ascii="Arial" w:hAnsi="Arial" w:cs="Arial"/>
          <w:i/>
        </w:rPr>
        <w:t>ho</w:t>
      </w:r>
      <w:r>
        <w:rPr>
          <w:rFonts w:ascii="Arial" w:hAnsi="Arial" w:cs="Arial"/>
          <w:i/>
        </w:rPr>
        <w:t xml:space="preserve"> řízení</w:t>
      </w:r>
      <w:r w:rsidR="00346D87">
        <w:rPr>
          <w:rFonts w:ascii="Arial" w:hAnsi="Arial" w:cs="Arial"/>
          <w:i/>
        </w:rPr>
        <w:t xml:space="preserve"> s ohledem na předmět veřejné zakázky</w:t>
      </w:r>
      <w:r>
        <w:rPr>
          <w:rFonts w:ascii="Arial" w:hAnsi="Arial" w:cs="Arial"/>
          <w:i/>
        </w:rPr>
        <w:t>.</w:t>
      </w:r>
    </w:p>
    <w:p w:rsidR="00A26435" w:rsidRPr="00A26435" w:rsidRDefault="00A26435" w:rsidP="003D3EAB">
      <w:pPr>
        <w:pStyle w:val="Odstavecseseznamem"/>
        <w:tabs>
          <w:tab w:val="num" w:pos="1080"/>
        </w:tabs>
        <w:spacing w:after="120" w:line="240" w:lineRule="auto"/>
        <w:ind w:left="1134"/>
        <w:contextualSpacing w:val="0"/>
        <w:jc w:val="both"/>
        <w:rPr>
          <w:rFonts w:ascii="Arial" w:hAnsi="Arial" w:cs="Arial"/>
          <w:i/>
        </w:rPr>
      </w:pPr>
      <w:r w:rsidRPr="00A26435">
        <w:rPr>
          <w:rFonts w:ascii="Arial" w:hAnsi="Arial" w:cs="Arial"/>
          <w:i/>
        </w:rPr>
        <w:t>Profesní způsobilost – specifikovat dle § 77 ZZVZ</w:t>
      </w:r>
    </w:p>
    <w:p w:rsidR="00A26435" w:rsidRPr="00A26435" w:rsidRDefault="00A26435" w:rsidP="003D3EAB">
      <w:pPr>
        <w:pStyle w:val="Odstavecseseznamem"/>
        <w:tabs>
          <w:tab w:val="num" w:pos="1080"/>
        </w:tabs>
        <w:spacing w:after="120" w:line="240" w:lineRule="auto"/>
        <w:ind w:left="1134"/>
        <w:contextualSpacing w:val="0"/>
        <w:jc w:val="both"/>
        <w:rPr>
          <w:rFonts w:ascii="Arial" w:hAnsi="Arial" w:cs="Arial"/>
          <w:i/>
        </w:rPr>
      </w:pPr>
      <w:r w:rsidRPr="00A26435">
        <w:rPr>
          <w:rFonts w:ascii="Arial" w:hAnsi="Arial" w:cs="Arial"/>
          <w:i/>
        </w:rPr>
        <w:t>Technická kvalifikace – specifikovat dle § 79 ZZVZ</w:t>
      </w:r>
    </w:p>
    <w:p w:rsidR="00346D87" w:rsidRDefault="00346D87" w:rsidP="003D3EAB">
      <w:pPr>
        <w:pStyle w:val="Odstavecseseznamem"/>
        <w:tabs>
          <w:tab w:val="num" w:pos="1080"/>
        </w:tabs>
        <w:spacing w:after="120" w:line="240" w:lineRule="auto"/>
        <w:ind w:left="1134"/>
        <w:contextualSpacing w:val="0"/>
        <w:jc w:val="both"/>
        <w:rPr>
          <w:rFonts w:ascii="Arial" w:hAnsi="Arial" w:cs="Arial"/>
          <w:i/>
        </w:rPr>
      </w:pPr>
      <w:r>
        <w:rPr>
          <w:rFonts w:ascii="Arial" w:hAnsi="Arial" w:cs="Arial"/>
          <w:i/>
        </w:rPr>
        <w:t>U každého požadovaného kvalifikačního předpokladu je odborný gestor povinen stanovit rozsah požadovaných informací a dokladů, způsob prokázání kvalifikace a požadovanou minimální úroveň kvalifikace.</w:t>
      </w:r>
    </w:p>
    <w:p w:rsidR="00A26435" w:rsidRPr="00A26435" w:rsidRDefault="00A26435" w:rsidP="003D3EAB">
      <w:pPr>
        <w:pStyle w:val="Odstavecseseznamem"/>
        <w:tabs>
          <w:tab w:val="num" w:pos="1080"/>
        </w:tabs>
        <w:spacing w:after="120" w:line="240" w:lineRule="auto"/>
        <w:ind w:left="1134"/>
        <w:contextualSpacing w:val="0"/>
        <w:jc w:val="both"/>
        <w:rPr>
          <w:rFonts w:ascii="Arial" w:hAnsi="Arial" w:cs="Arial"/>
          <w:i/>
        </w:rPr>
      </w:pPr>
      <w:r>
        <w:rPr>
          <w:rFonts w:ascii="Arial" w:hAnsi="Arial" w:cs="Arial"/>
          <w:i/>
        </w:rPr>
        <w:t>Dokládá se mimo jiné s</w:t>
      </w:r>
      <w:r w:rsidRPr="00A26435">
        <w:rPr>
          <w:rFonts w:ascii="Arial" w:hAnsi="Arial" w:cs="Arial"/>
          <w:i/>
        </w:rPr>
        <w:t>eznam</w:t>
      </w:r>
      <w:r>
        <w:rPr>
          <w:rFonts w:ascii="Arial" w:hAnsi="Arial" w:cs="Arial"/>
          <w:i/>
        </w:rPr>
        <w:t>em</w:t>
      </w:r>
      <w:r w:rsidRPr="00A26435">
        <w:rPr>
          <w:rFonts w:ascii="Arial" w:hAnsi="Arial" w:cs="Arial"/>
          <w:i/>
        </w:rPr>
        <w:t xml:space="preserve"> významných dodávek nebo významných služeb (2 a více) za poslední 3 roky, s uvedením ceny a doby jejich poskytnutí.</w:t>
      </w:r>
    </w:p>
    <w:p w:rsidR="00A26435" w:rsidRPr="003D3EAB" w:rsidRDefault="00A26435" w:rsidP="003D3EAB">
      <w:pPr>
        <w:pStyle w:val="Odstavecseseznamem"/>
        <w:tabs>
          <w:tab w:val="num" w:pos="1080"/>
        </w:tabs>
        <w:spacing w:after="0" w:line="240" w:lineRule="auto"/>
        <w:ind w:left="1134"/>
        <w:jc w:val="both"/>
        <w:rPr>
          <w:rFonts w:ascii="Arial" w:hAnsi="Arial" w:cs="Arial"/>
          <w:i/>
        </w:rPr>
      </w:pPr>
      <w:r>
        <w:rPr>
          <w:rFonts w:ascii="Arial" w:hAnsi="Arial" w:cs="Arial"/>
          <w:i/>
        </w:rPr>
        <w:t>Dokládá se mimo jiné s</w:t>
      </w:r>
      <w:r w:rsidRPr="00A26435">
        <w:rPr>
          <w:rFonts w:ascii="Arial" w:hAnsi="Arial" w:cs="Arial"/>
          <w:i/>
        </w:rPr>
        <w:t>eznam</w:t>
      </w:r>
      <w:r>
        <w:rPr>
          <w:rFonts w:ascii="Arial" w:hAnsi="Arial" w:cs="Arial"/>
          <w:i/>
        </w:rPr>
        <w:t>em</w:t>
      </w:r>
      <w:r w:rsidRPr="00A26435">
        <w:rPr>
          <w:rFonts w:ascii="Arial" w:hAnsi="Arial" w:cs="Arial"/>
          <w:i/>
        </w:rPr>
        <w:t xml:space="preserve"> členů řešitelského týmu, pozice každého člena v týmu, požadavky na vzdělání jednotlivých členů (v jakém oboru), požadovaná délka praxe.</w:t>
      </w:r>
    </w:p>
    <w:p w:rsidR="00A26435" w:rsidRDefault="00A26435" w:rsidP="00A26435">
      <w:pPr>
        <w:spacing w:after="0" w:line="240" w:lineRule="auto"/>
        <w:ind w:left="901"/>
        <w:jc w:val="both"/>
        <w:rPr>
          <w:rFonts w:ascii="Arial" w:hAnsi="Arial" w:cs="Arial"/>
          <w:b/>
        </w:rPr>
      </w:pPr>
    </w:p>
    <w:p w:rsidR="00A82064" w:rsidRDefault="00A82064" w:rsidP="00A82064">
      <w:pPr>
        <w:numPr>
          <w:ilvl w:val="0"/>
          <w:numId w:val="27"/>
        </w:numPr>
        <w:tabs>
          <w:tab w:val="clear" w:pos="1068"/>
          <w:tab w:val="num" w:pos="1080"/>
        </w:tabs>
        <w:spacing w:after="0" w:line="240" w:lineRule="auto"/>
        <w:ind w:left="901" w:hanging="181"/>
        <w:jc w:val="both"/>
        <w:rPr>
          <w:rFonts w:ascii="Arial" w:hAnsi="Arial" w:cs="Arial"/>
          <w:b/>
        </w:rPr>
      </w:pPr>
      <w:r>
        <w:rPr>
          <w:rFonts w:ascii="Arial" w:hAnsi="Arial" w:cs="Arial"/>
          <w:b/>
        </w:rPr>
        <w:t xml:space="preserve">Druh zadávacího řízení </w:t>
      </w:r>
    </w:p>
    <w:p w:rsidR="00A82064" w:rsidRDefault="00A82064" w:rsidP="00A82064">
      <w:pPr>
        <w:tabs>
          <w:tab w:val="num" w:pos="1080"/>
        </w:tabs>
        <w:spacing w:after="0" w:line="240" w:lineRule="auto"/>
        <w:ind w:left="1080"/>
        <w:jc w:val="both"/>
        <w:rPr>
          <w:rFonts w:ascii="Arial" w:hAnsi="Arial" w:cs="Arial"/>
          <w:i/>
        </w:rPr>
      </w:pPr>
      <w:r>
        <w:rPr>
          <w:rFonts w:ascii="Arial" w:hAnsi="Arial" w:cs="Arial"/>
          <w:i/>
        </w:rPr>
        <w:t xml:space="preserve">Požadujete-li dle § </w:t>
      </w:r>
      <w:r w:rsidR="00EC3E78">
        <w:rPr>
          <w:rFonts w:ascii="Arial" w:hAnsi="Arial" w:cs="Arial"/>
          <w:i/>
        </w:rPr>
        <w:t>21 až 30</w:t>
      </w:r>
      <w:r w:rsidR="00346D87">
        <w:rPr>
          <w:rFonts w:ascii="Arial" w:hAnsi="Arial" w:cs="Arial"/>
          <w:i/>
        </w:rPr>
        <w:t xml:space="preserve"> výjimku ze ZZVZ</w:t>
      </w:r>
      <w:r>
        <w:rPr>
          <w:rFonts w:ascii="Arial" w:hAnsi="Arial" w:cs="Arial"/>
          <w:i/>
        </w:rPr>
        <w:t xml:space="preserve">, předložte odůvodnění výjimky, které zašlete jako samostatnou přílohu podepsanou odpovědnou osobou odborného gestora. V ostatních případech bude veřejná zakázka zadána v otevřeném řízení dle § </w:t>
      </w:r>
      <w:r w:rsidR="00255C31">
        <w:rPr>
          <w:rFonts w:ascii="Arial" w:hAnsi="Arial" w:cs="Arial"/>
          <w:i/>
        </w:rPr>
        <w:t>56 ZZVZ</w:t>
      </w:r>
      <w:r>
        <w:rPr>
          <w:rFonts w:ascii="Arial" w:hAnsi="Arial" w:cs="Arial"/>
          <w:i/>
        </w:rPr>
        <w:t>.</w:t>
      </w:r>
    </w:p>
    <w:p w:rsidR="00A82064" w:rsidRDefault="00A82064" w:rsidP="003D3EAB">
      <w:pPr>
        <w:tabs>
          <w:tab w:val="num" w:pos="1080"/>
        </w:tabs>
        <w:spacing w:after="0" w:line="240" w:lineRule="auto"/>
        <w:jc w:val="both"/>
        <w:rPr>
          <w:rFonts w:ascii="Arial" w:hAnsi="Arial" w:cs="Arial"/>
          <w:i/>
        </w:rPr>
      </w:pPr>
    </w:p>
    <w:p w:rsidR="00A82064" w:rsidRDefault="00A82064" w:rsidP="00A82064">
      <w:pPr>
        <w:numPr>
          <w:ilvl w:val="0"/>
          <w:numId w:val="27"/>
        </w:numPr>
        <w:tabs>
          <w:tab w:val="clear" w:pos="1068"/>
          <w:tab w:val="num" w:pos="1080"/>
        </w:tabs>
        <w:spacing w:after="0" w:line="240" w:lineRule="auto"/>
        <w:ind w:left="901" w:hanging="181"/>
        <w:jc w:val="both"/>
        <w:rPr>
          <w:rFonts w:ascii="Arial" w:hAnsi="Arial" w:cs="Arial"/>
          <w:b/>
        </w:rPr>
      </w:pPr>
      <w:r>
        <w:rPr>
          <w:rFonts w:ascii="Arial" w:hAnsi="Arial" w:cs="Arial"/>
          <w:b/>
        </w:rPr>
        <w:t>Hodnotící komise</w:t>
      </w:r>
    </w:p>
    <w:p w:rsidR="00A82064" w:rsidRDefault="00A82064" w:rsidP="00A82064">
      <w:pPr>
        <w:tabs>
          <w:tab w:val="num" w:pos="2160"/>
        </w:tabs>
        <w:spacing w:after="0" w:line="240" w:lineRule="auto"/>
        <w:ind w:left="1080"/>
        <w:jc w:val="both"/>
        <w:rPr>
          <w:rFonts w:ascii="Arial" w:hAnsi="Arial" w:cs="Arial"/>
          <w:i/>
        </w:rPr>
      </w:pPr>
      <w:r>
        <w:rPr>
          <w:rFonts w:ascii="Arial" w:hAnsi="Arial" w:cs="Arial"/>
          <w:i/>
        </w:rPr>
        <w:t>Identifikační a kontaktní údaje navržených členů hodnotící komise (korespondenční adresa, telefon, e-mail)</w:t>
      </w:r>
    </w:p>
    <w:p w:rsidR="00A82064" w:rsidRDefault="00A82064" w:rsidP="00A82064">
      <w:pPr>
        <w:numPr>
          <w:ilvl w:val="2"/>
          <w:numId w:val="20"/>
        </w:numPr>
        <w:spacing w:after="0" w:line="240" w:lineRule="auto"/>
        <w:jc w:val="both"/>
        <w:rPr>
          <w:rFonts w:ascii="Arial" w:hAnsi="Arial" w:cs="Arial"/>
          <w:i/>
        </w:rPr>
      </w:pPr>
      <w:r>
        <w:rPr>
          <w:rFonts w:ascii="Arial" w:hAnsi="Arial" w:cs="Arial"/>
          <w:i/>
        </w:rPr>
        <w:t>zástupce odborného gestora a jeho náhradní</w:t>
      </w:r>
      <w:r w:rsidR="003E4BE8">
        <w:rPr>
          <w:rFonts w:ascii="Arial" w:hAnsi="Arial" w:cs="Arial"/>
          <w:i/>
        </w:rPr>
        <w:t>k</w:t>
      </w:r>
    </w:p>
    <w:p w:rsidR="00A82064" w:rsidRDefault="00A82064" w:rsidP="00A82064">
      <w:pPr>
        <w:numPr>
          <w:ilvl w:val="2"/>
          <w:numId w:val="20"/>
        </w:numPr>
        <w:spacing w:after="0" w:line="240" w:lineRule="auto"/>
        <w:jc w:val="both"/>
        <w:rPr>
          <w:rFonts w:ascii="Arial" w:hAnsi="Arial" w:cs="Arial"/>
          <w:i/>
        </w:rPr>
      </w:pPr>
      <w:r>
        <w:rPr>
          <w:rFonts w:ascii="Arial" w:hAnsi="Arial" w:cs="Arial"/>
          <w:i/>
        </w:rPr>
        <w:t>odborník v dané oblasti a jeho náhradník</w:t>
      </w:r>
    </w:p>
    <w:p w:rsidR="00A82064" w:rsidRDefault="00A82064" w:rsidP="00A82064">
      <w:pPr>
        <w:tabs>
          <w:tab w:val="num" w:pos="2160"/>
        </w:tabs>
        <w:spacing w:after="0" w:line="240" w:lineRule="auto"/>
        <w:jc w:val="both"/>
        <w:rPr>
          <w:rFonts w:ascii="Arial" w:hAnsi="Arial" w:cs="Arial"/>
        </w:rPr>
      </w:pPr>
    </w:p>
    <w:p w:rsidR="00A82064" w:rsidRDefault="00A82064" w:rsidP="00A82064">
      <w:pPr>
        <w:tabs>
          <w:tab w:val="num" w:pos="2160"/>
        </w:tabs>
        <w:spacing w:after="0" w:line="240" w:lineRule="auto"/>
        <w:jc w:val="both"/>
        <w:rPr>
          <w:rFonts w:ascii="Arial" w:hAnsi="Arial" w:cs="Arial"/>
          <w:b/>
        </w:rPr>
      </w:pPr>
      <w:r>
        <w:rPr>
          <w:rFonts w:ascii="Arial" w:hAnsi="Arial" w:cs="Arial"/>
          <w:b/>
        </w:rPr>
        <w:t>Příloha:</w:t>
      </w:r>
    </w:p>
    <w:p w:rsidR="00A82064" w:rsidRDefault="00A82064" w:rsidP="00A82064">
      <w:pPr>
        <w:tabs>
          <w:tab w:val="num" w:pos="2160"/>
        </w:tabs>
        <w:spacing w:after="0" w:line="240" w:lineRule="auto"/>
        <w:jc w:val="both"/>
        <w:rPr>
          <w:rFonts w:ascii="Arial" w:hAnsi="Arial" w:cs="Arial"/>
        </w:rPr>
      </w:pPr>
      <w:r>
        <w:rPr>
          <w:rFonts w:ascii="Arial" w:hAnsi="Arial" w:cs="Arial"/>
        </w:rPr>
        <w:t>Dokument „Povinnosti odborného gestora“ potvrzený podle vzoru</w:t>
      </w:r>
    </w:p>
    <w:p w:rsidR="003D3EAB" w:rsidRDefault="003D3EAB" w:rsidP="00A82064">
      <w:pPr>
        <w:spacing w:after="0" w:line="240" w:lineRule="auto"/>
        <w:jc w:val="both"/>
        <w:rPr>
          <w:rFonts w:ascii="Arial" w:hAnsi="Arial" w:cs="Arial"/>
        </w:rPr>
      </w:pPr>
    </w:p>
    <w:p w:rsidR="00A82064" w:rsidRDefault="00A82064" w:rsidP="00A82064">
      <w:pPr>
        <w:spacing w:after="0" w:line="240" w:lineRule="auto"/>
        <w:ind w:left="4248"/>
        <w:jc w:val="center"/>
        <w:rPr>
          <w:rFonts w:ascii="Arial" w:hAnsi="Arial" w:cs="Arial"/>
        </w:rPr>
      </w:pPr>
      <w:r>
        <w:rPr>
          <w:rFonts w:ascii="Arial" w:hAnsi="Arial" w:cs="Arial"/>
        </w:rPr>
        <w:t>…………………………………</w:t>
      </w:r>
    </w:p>
    <w:p w:rsidR="00A82064" w:rsidRDefault="00A82064" w:rsidP="00A82064">
      <w:pPr>
        <w:spacing w:after="0" w:line="240" w:lineRule="auto"/>
        <w:ind w:left="4248"/>
        <w:jc w:val="center"/>
        <w:rPr>
          <w:rFonts w:ascii="Arial" w:hAnsi="Arial" w:cs="Arial"/>
        </w:rPr>
      </w:pPr>
      <w:r>
        <w:rPr>
          <w:rFonts w:ascii="Arial" w:hAnsi="Arial" w:cs="Arial"/>
        </w:rPr>
        <w:t>jméno a podpis</w:t>
      </w:r>
    </w:p>
    <w:p w:rsidR="003D3EAB" w:rsidRDefault="00A82064" w:rsidP="003D3EAB">
      <w:pPr>
        <w:spacing w:after="0" w:line="240" w:lineRule="auto"/>
        <w:ind w:left="4248"/>
        <w:jc w:val="center"/>
        <w:rPr>
          <w:rFonts w:ascii="Arial" w:hAnsi="Arial" w:cs="Arial"/>
        </w:rPr>
      </w:pPr>
      <w:r>
        <w:rPr>
          <w:rFonts w:ascii="Arial" w:hAnsi="Arial" w:cs="Arial"/>
        </w:rPr>
        <w:t>vedoucího pracovníka odborného gestora</w:t>
      </w:r>
    </w:p>
    <w:sectPr w:rsidR="003D3EA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280" w:rsidRDefault="00B85280" w:rsidP="00A82064">
      <w:pPr>
        <w:spacing w:after="0" w:line="240" w:lineRule="auto"/>
      </w:pPr>
      <w:r>
        <w:separator/>
      </w:r>
    </w:p>
  </w:endnote>
  <w:endnote w:type="continuationSeparator" w:id="0">
    <w:p w:rsidR="00B85280" w:rsidRDefault="00B85280" w:rsidP="00A8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altName w:val="Arial"/>
    <w:panose1 w:val="020B0604020202020204"/>
    <w:charset w:val="EE"/>
    <w:family w:val="swiss"/>
    <w:pitch w:val="variable"/>
    <w:sig w:usb0="E0002AFF" w:usb1="C0007843" w:usb2="00000009" w:usb3="00000000" w:csb0="000001FF" w:csb1="00000000"/>
  </w:font>
  <w:font w:name="Calibri">
    <w:altName w:val="Calibri"/>
    <w:panose1 w:val="020F0502020204030204"/>
    <w:charset w:val="EE"/>
    <w:family w:val="swiss"/>
    <w:pitch w:val="variable"/>
    <w:sig w:usb0="E0002AFF" w:usb1="4000ACFF" w:usb2="00000001" w:usb3="00000000" w:csb0="000001FF" w:csb1="00000000"/>
  </w:font>
  <w:font w:name="Cambria">
    <w:altName w:val="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43" w:usb2="00000009" w:usb3="00000000" w:csb0="000001FF" w:csb1="00000000"/>
  </w:font>
  <w:font w:name="Arial-OneByteIdentityH">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280" w:rsidRDefault="00B85280" w:rsidP="00A82064">
      <w:pPr>
        <w:spacing w:after="0" w:line="240" w:lineRule="auto"/>
      </w:pPr>
      <w:r>
        <w:separator/>
      </w:r>
    </w:p>
  </w:footnote>
  <w:footnote w:type="continuationSeparator" w:id="0">
    <w:p w:rsidR="00B85280" w:rsidRDefault="00B85280" w:rsidP="00A820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567B6"/>
    <w:multiLevelType w:val="multilevel"/>
    <w:tmpl w:val="EF52BF3C"/>
    <w:lvl w:ilvl="0">
      <w:start w:val="2"/>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b/>
      </w:rPr>
    </w:lvl>
    <w:lvl w:ilvl="2">
      <w:start w:val="1"/>
      <w:numFmt w:val="ordinal"/>
      <w:lvlText w:val="%3"/>
      <w:lvlJc w:val="left"/>
      <w:pPr>
        <w:tabs>
          <w:tab w:val="num" w:pos="1080"/>
        </w:tabs>
        <w:ind w:left="1080" w:hanging="360"/>
      </w:pPr>
      <w:rPr>
        <w:rFonts w:cs="Times New Roman"/>
        <w:b w:val="0"/>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15:restartNumberingAfterBreak="0">
    <w:nsid w:val="09C575F2"/>
    <w:multiLevelType w:val="hybridMultilevel"/>
    <w:tmpl w:val="9A6245C4"/>
    <w:lvl w:ilvl="0" w:tplc="04050015">
      <w:start w:val="1"/>
      <w:numFmt w:val="upperLetter"/>
      <w:lvlText w:val="%1."/>
      <w:lvlJc w:val="left"/>
      <w:pPr>
        <w:ind w:left="720" w:hanging="360"/>
      </w:pPr>
      <w:rPr>
        <w:rFonts w:hint="default"/>
      </w:rPr>
    </w:lvl>
    <w:lvl w:ilvl="1" w:tplc="0405000F">
      <w:start w:val="1"/>
      <w:numFmt w:val="decimal"/>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A980EFE"/>
    <w:multiLevelType w:val="hybridMultilevel"/>
    <w:tmpl w:val="C96EFECC"/>
    <w:lvl w:ilvl="0" w:tplc="60AC2312">
      <w:start w:val="1"/>
      <w:numFmt w:val="lowerLetter"/>
      <w:lvlText w:val="%1)"/>
      <w:lvlJc w:val="left"/>
      <w:pPr>
        <w:tabs>
          <w:tab w:val="num" w:pos="1068"/>
        </w:tabs>
        <w:ind w:left="1068" w:hanging="360"/>
      </w:pPr>
      <w:rPr>
        <w:b/>
        <w:i w:val="0"/>
      </w:rPr>
    </w:lvl>
    <w:lvl w:ilvl="1" w:tplc="04050019" w:tentative="1">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3" w15:restartNumberingAfterBreak="0">
    <w:nsid w:val="0ACA0BD9"/>
    <w:multiLevelType w:val="hybridMultilevel"/>
    <w:tmpl w:val="E2602128"/>
    <w:lvl w:ilvl="0" w:tplc="87A07968">
      <w:start w:val="1"/>
      <w:numFmt w:val="decimal"/>
      <w:lvlText w:val="%1."/>
      <w:lvlJc w:val="left"/>
      <w:pPr>
        <w:tabs>
          <w:tab w:val="num" w:pos="786"/>
        </w:tabs>
        <w:ind w:left="786" w:hanging="360"/>
      </w:pPr>
      <w:rPr>
        <w:b/>
      </w:rPr>
    </w:lvl>
    <w:lvl w:ilvl="1" w:tplc="04050019">
      <w:start w:val="1"/>
      <w:numFmt w:val="lowerLetter"/>
      <w:lvlText w:val="%2."/>
      <w:lvlJc w:val="left"/>
      <w:pPr>
        <w:tabs>
          <w:tab w:val="num" w:pos="1440"/>
        </w:tabs>
        <w:ind w:left="1440" w:hanging="360"/>
      </w:pPr>
      <w:rPr>
        <w:rFonts w:hint="default"/>
      </w:rPr>
    </w:lvl>
    <w:lvl w:ilvl="2" w:tplc="2BD280B2">
      <w:numFmt w:val="bullet"/>
      <w:lvlText w:val="-"/>
      <w:lvlJc w:val="left"/>
      <w:pPr>
        <w:tabs>
          <w:tab w:val="num" w:pos="2160"/>
        </w:tabs>
        <w:ind w:left="2160" w:hanging="18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0D146D89"/>
    <w:multiLevelType w:val="hybridMultilevel"/>
    <w:tmpl w:val="E8C8D6FC"/>
    <w:lvl w:ilvl="0" w:tplc="BF186D3C">
      <w:start w:val="1"/>
      <w:numFmt w:val="bullet"/>
      <w:lvlText w:val=""/>
      <w:lvlJc w:val="left"/>
      <w:pPr>
        <w:tabs>
          <w:tab w:val="num" w:pos="357"/>
        </w:tabs>
        <w:ind w:left="340" w:hanging="340"/>
      </w:pPr>
      <w:rPr>
        <w:rFonts w:ascii="Symbol" w:hAnsi="Symbol" w:hint="default"/>
      </w:rPr>
    </w:lvl>
    <w:lvl w:ilvl="1" w:tplc="1E2CC634">
      <w:start w:val="3"/>
      <w:numFmt w:val="decimal"/>
      <w:lvlText w:val="%2)"/>
      <w:lvlJc w:val="left"/>
      <w:pPr>
        <w:tabs>
          <w:tab w:val="num" w:pos="1440"/>
        </w:tabs>
        <w:ind w:left="1440" w:hanging="360"/>
      </w:pPr>
      <w:rPr>
        <w:b w:val="0"/>
        <w:i w:val="0"/>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B54C6B"/>
    <w:multiLevelType w:val="hybridMultilevel"/>
    <w:tmpl w:val="95FC69A8"/>
    <w:lvl w:ilvl="0" w:tplc="4022A2C2">
      <w:start w:val="2"/>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4397D57"/>
    <w:multiLevelType w:val="hybridMultilevel"/>
    <w:tmpl w:val="6EFC24AA"/>
    <w:lvl w:ilvl="0" w:tplc="0405000F">
      <w:start w:val="1"/>
      <w:numFmt w:val="decimal"/>
      <w:lvlText w:val="%1."/>
      <w:lvlJc w:val="left"/>
      <w:pPr>
        <w:tabs>
          <w:tab w:val="num" w:pos="720"/>
        </w:tabs>
        <w:ind w:left="720" w:hanging="360"/>
      </w:pPr>
    </w:lvl>
    <w:lvl w:ilvl="1" w:tplc="04050017">
      <w:start w:val="1"/>
      <w:numFmt w:val="lowerLetter"/>
      <w:lvlText w:val="%2)"/>
      <w:lvlJc w:val="left"/>
      <w:pPr>
        <w:tabs>
          <w:tab w:val="num" w:pos="1440"/>
        </w:tabs>
        <w:ind w:left="1440" w:hanging="360"/>
      </w:pPr>
      <w:rPr>
        <w:rFonts w:hint="default"/>
      </w:rPr>
    </w:lvl>
    <w:lvl w:ilvl="2" w:tplc="2BD280B2">
      <w:numFmt w:val="bullet"/>
      <w:lvlText w:val="-"/>
      <w:lvlJc w:val="left"/>
      <w:pPr>
        <w:tabs>
          <w:tab w:val="num" w:pos="2160"/>
        </w:tabs>
        <w:ind w:left="2160" w:hanging="180"/>
      </w:pPr>
      <w:rPr>
        <w:rFonts w:ascii="Times New Roman" w:eastAsia="Times New Roman" w:hAnsi="Times New Roman" w:cs="Times New Roman"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20033E1F"/>
    <w:multiLevelType w:val="hybridMultilevel"/>
    <w:tmpl w:val="B4164A1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15:restartNumberingAfterBreak="0">
    <w:nsid w:val="35E26F29"/>
    <w:multiLevelType w:val="hybridMultilevel"/>
    <w:tmpl w:val="F7D8A148"/>
    <w:lvl w:ilvl="0" w:tplc="14A2CD84">
      <w:start w:val="1"/>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41B33E12"/>
    <w:multiLevelType w:val="hybridMultilevel"/>
    <w:tmpl w:val="DBFCD7D2"/>
    <w:lvl w:ilvl="0" w:tplc="89D05E86">
      <w:start w:val="1"/>
      <w:numFmt w:val="decimal"/>
      <w:lvlText w:val="B. %1."/>
      <w:lvlJc w:val="left"/>
      <w:pPr>
        <w:ind w:left="144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B2C222A"/>
    <w:multiLevelType w:val="hybridMultilevel"/>
    <w:tmpl w:val="BB485CF2"/>
    <w:lvl w:ilvl="0" w:tplc="CB760512">
      <w:numFmt w:val="bullet"/>
      <w:lvlText w:val=""/>
      <w:lvlJc w:val="left"/>
      <w:pPr>
        <w:tabs>
          <w:tab w:val="num" w:pos="1674"/>
        </w:tabs>
        <w:ind w:left="1674" w:hanging="567"/>
      </w:pPr>
      <w:rPr>
        <w:rFonts w:ascii="Symbol" w:hAnsi="Symbol" w:hint="default"/>
      </w:rPr>
    </w:lvl>
    <w:lvl w:ilvl="1" w:tplc="04050003" w:tentative="1">
      <w:start w:val="1"/>
      <w:numFmt w:val="bullet"/>
      <w:lvlText w:val="o"/>
      <w:lvlJc w:val="left"/>
      <w:pPr>
        <w:tabs>
          <w:tab w:val="num" w:pos="1980"/>
        </w:tabs>
        <w:ind w:left="1980" w:hanging="360"/>
      </w:pPr>
      <w:rPr>
        <w:rFonts w:ascii="Courier New" w:hAnsi="Courier New" w:cs="Courier New" w:hint="default"/>
      </w:rPr>
    </w:lvl>
    <w:lvl w:ilvl="2" w:tplc="04050005" w:tentative="1">
      <w:start w:val="1"/>
      <w:numFmt w:val="bullet"/>
      <w:lvlText w:val=""/>
      <w:lvlJc w:val="left"/>
      <w:pPr>
        <w:tabs>
          <w:tab w:val="num" w:pos="2700"/>
        </w:tabs>
        <w:ind w:left="2700" w:hanging="360"/>
      </w:pPr>
      <w:rPr>
        <w:rFonts w:ascii="Wingdings" w:hAnsi="Wingdings" w:hint="default"/>
      </w:rPr>
    </w:lvl>
    <w:lvl w:ilvl="3" w:tplc="04050001" w:tentative="1">
      <w:start w:val="1"/>
      <w:numFmt w:val="bullet"/>
      <w:lvlText w:val=""/>
      <w:lvlJc w:val="left"/>
      <w:pPr>
        <w:tabs>
          <w:tab w:val="num" w:pos="3420"/>
        </w:tabs>
        <w:ind w:left="3420" w:hanging="360"/>
      </w:pPr>
      <w:rPr>
        <w:rFonts w:ascii="Symbol" w:hAnsi="Symbol" w:hint="default"/>
      </w:rPr>
    </w:lvl>
    <w:lvl w:ilvl="4" w:tplc="04050003" w:tentative="1">
      <w:start w:val="1"/>
      <w:numFmt w:val="bullet"/>
      <w:lvlText w:val="o"/>
      <w:lvlJc w:val="left"/>
      <w:pPr>
        <w:tabs>
          <w:tab w:val="num" w:pos="4140"/>
        </w:tabs>
        <w:ind w:left="4140" w:hanging="360"/>
      </w:pPr>
      <w:rPr>
        <w:rFonts w:ascii="Courier New" w:hAnsi="Courier New" w:cs="Courier New" w:hint="default"/>
      </w:rPr>
    </w:lvl>
    <w:lvl w:ilvl="5" w:tplc="04050005" w:tentative="1">
      <w:start w:val="1"/>
      <w:numFmt w:val="bullet"/>
      <w:lvlText w:val=""/>
      <w:lvlJc w:val="left"/>
      <w:pPr>
        <w:tabs>
          <w:tab w:val="num" w:pos="4860"/>
        </w:tabs>
        <w:ind w:left="4860" w:hanging="360"/>
      </w:pPr>
      <w:rPr>
        <w:rFonts w:ascii="Wingdings" w:hAnsi="Wingdings" w:hint="default"/>
      </w:rPr>
    </w:lvl>
    <w:lvl w:ilvl="6" w:tplc="04050001" w:tentative="1">
      <w:start w:val="1"/>
      <w:numFmt w:val="bullet"/>
      <w:lvlText w:val=""/>
      <w:lvlJc w:val="left"/>
      <w:pPr>
        <w:tabs>
          <w:tab w:val="num" w:pos="5580"/>
        </w:tabs>
        <w:ind w:left="5580" w:hanging="360"/>
      </w:pPr>
      <w:rPr>
        <w:rFonts w:ascii="Symbol" w:hAnsi="Symbol" w:hint="default"/>
      </w:rPr>
    </w:lvl>
    <w:lvl w:ilvl="7" w:tplc="04050003" w:tentative="1">
      <w:start w:val="1"/>
      <w:numFmt w:val="bullet"/>
      <w:lvlText w:val="o"/>
      <w:lvlJc w:val="left"/>
      <w:pPr>
        <w:tabs>
          <w:tab w:val="num" w:pos="6300"/>
        </w:tabs>
        <w:ind w:left="6300" w:hanging="360"/>
      </w:pPr>
      <w:rPr>
        <w:rFonts w:ascii="Courier New" w:hAnsi="Courier New" w:cs="Courier New" w:hint="default"/>
      </w:rPr>
    </w:lvl>
    <w:lvl w:ilvl="8" w:tplc="04050005" w:tentative="1">
      <w:start w:val="1"/>
      <w:numFmt w:val="bullet"/>
      <w:lvlText w:val=""/>
      <w:lvlJc w:val="left"/>
      <w:pPr>
        <w:tabs>
          <w:tab w:val="num" w:pos="7020"/>
        </w:tabs>
        <w:ind w:left="7020" w:hanging="360"/>
      </w:pPr>
      <w:rPr>
        <w:rFonts w:ascii="Wingdings" w:hAnsi="Wingdings" w:hint="default"/>
      </w:rPr>
    </w:lvl>
  </w:abstractNum>
  <w:abstractNum w:abstractNumId="11" w15:restartNumberingAfterBreak="0">
    <w:nsid w:val="528E6659"/>
    <w:multiLevelType w:val="multilevel"/>
    <w:tmpl w:val="2BC6D65C"/>
    <w:lvl w:ilvl="0">
      <w:start w:val="3"/>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b/>
      </w:rPr>
    </w:lvl>
    <w:lvl w:ilvl="2">
      <w:start w:val="1"/>
      <w:numFmt w:val="ordin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1077"/>
        </w:tabs>
        <w:ind w:left="1077" w:hanging="357"/>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53300CBB"/>
    <w:multiLevelType w:val="hybridMultilevel"/>
    <w:tmpl w:val="29B458B8"/>
    <w:lvl w:ilvl="0" w:tplc="04050015">
      <w:start w:val="1"/>
      <w:numFmt w:val="upperLetter"/>
      <w:lvlText w:val="%1."/>
      <w:lvlJc w:val="left"/>
      <w:pPr>
        <w:ind w:left="720" w:hanging="360"/>
      </w:pPr>
      <w:rPr>
        <w:rFonts w:hint="default"/>
      </w:rPr>
    </w:lvl>
    <w:lvl w:ilvl="1" w:tplc="89D05E86">
      <w:start w:val="1"/>
      <w:numFmt w:val="decimal"/>
      <w:lvlText w:val="B. %2."/>
      <w:lvlJc w:val="lef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94164DF"/>
    <w:multiLevelType w:val="hybridMultilevel"/>
    <w:tmpl w:val="33825C6E"/>
    <w:lvl w:ilvl="0" w:tplc="CE5058EC">
      <w:start w:val="1"/>
      <w:numFmt w:val="lowerLetter"/>
      <w:lvlText w:val="%1)"/>
      <w:lvlJc w:val="left"/>
      <w:pPr>
        <w:tabs>
          <w:tab w:val="num" w:pos="1077"/>
        </w:tabs>
        <w:ind w:left="1077" w:hanging="357"/>
      </w:pPr>
      <w:rPr>
        <w:sz w:val="24"/>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4" w15:restartNumberingAfterBreak="0">
    <w:nsid w:val="5A4F4ECE"/>
    <w:multiLevelType w:val="hybridMultilevel"/>
    <w:tmpl w:val="3AECE21A"/>
    <w:lvl w:ilvl="0" w:tplc="6FC67FD2">
      <w:start w:val="1"/>
      <w:numFmt w:val="lowerLetter"/>
      <w:lvlText w:val="%1."/>
      <w:lvlJc w:val="left"/>
      <w:pPr>
        <w:ind w:left="2121" w:hanging="705"/>
      </w:pPr>
      <w:rPr>
        <w:rFonts w:hint="default"/>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15" w15:restartNumberingAfterBreak="0">
    <w:nsid w:val="5E826DAD"/>
    <w:multiLevelType w:val="hybridMultilevel"/>
    <w:tmpl w:val="ABFECD9C"/>
    <w:lvl w:ilvl="0" w:tplc="D9BA784E">
      <w:start w:val="1"/>
      <w:numFmt w:val="decimal"/>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EE53FEF"/>
    <w:multiLevelType w:val="hybridMultilevel"/>
    <w:tmpl w:val="02D4ED4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96F1284"/>
    <w:multiLevelType w:val="hybridMultilevel"/>
    <w:tmpl w:val="B32AE01C"/>
    <w:lvl w:ilvl="0" w:tplc="E8A21A1A">
      <w:start w:val="3"/>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8" w15:restartNumberingAfterBreak="0">
    <w:nsid w:val="6C5D0801"/>
    <w:multiLevelType w:val="hybridMultilevel"/>
    <w:tmpl w:val="72CEB052"/>
    <w:lvl w:ilvl="0" w:tplc="04050015">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1632345"/>
    <w:multiLevelType w:val="hybridMultilevel"/>
    <w:tmpl w:val="B1EC3E90"/>
    <w:lvl w:ilvl="0" w:tplc="DCF8D2C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0" w15:restartNumberingAfterBreak="0">
    <w:nsid w:val="75A622E8"/>
    <w:multiLevelType w:val="hybridMultilevel"/>
    <w:tmpl w:val="38FA583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9F27A81"/>
    <w:multiLevelType w:val="hybridMultilevel"/>
    <w:tmpl w:val="2ED04C5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EA54A94"/>
    <w:multiLevelType w:val="hybridMultilevel"/>
    <w:tmpl w:val="B306A4B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6"/>
  </w:num>
  <w:num w:numId="2">
    <w:abstractNumId w:val="18"/>
  </w:num>
  <w:num w:numId="3">
    <w:abstractNumId w:val="21"/>
  </w:num>
  <w:num w:numId="4">
    <w:abstractNumId w:val="8"/>
  </w:num>
  <w:num w:numId="5">
    <w:abstractNumId w:val="20"/>
  </w:num>
  <w:num w:numId="6">
    <w:abstractNumId w:val="22"/>
  </w:num>
  <w:num w:numId="7">
    <w:abstractNumId w:val="3"/>
  </w:num>
  <w:num w:numId="8">
    <w:abstractNumId w:val="2"/>
  </w:num>
  <w:num w:numId="9">
    <w:abstractNumId w:val="10"/>
  </w:num>
  <w:num w:numId="10">
    <w:abstractNumId w:val="19"/>
  </w:num>
  <w:num w:numId="11">
    <w:abstractNumId w:val="6"/>
  </w:num>
  <w:num w:numId="12">
    <w:abstractNumId w:val="7"/>
  </w:num>
  <w:num w:numId="13">
    <w:abstractNumId w:val="12"/>
  </w:num>
  <w:num w:numId="14">
    <w:abstractNumId w:val="9"/>
  </w:num>
  <w:num w:numId="15">
    <w:abstractNumId w:val="5"/>
  </w:num>
  <w:num w:numId="16">
    <w:abstractNumId w:val="1"/>
  </w:num>
  <w:num w:numId="17">
    <w:abstractNumId w:val="15"/>
  </w:num>
  <w:num w:numId="18">
    <w:abstractNumId w:val="14"/>
  </w:num>
  <w:num w:numId="19">
    <w:abstractNumId w:val="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lvlOverride w:ilvl="1">
      <w:startOverride w:val="3"/>
    </w:lvlOverride>
    <w:lvlOverride w:ilvl="2"/>
    <w:lvlOverride w:ilvl="3"/>
    <w:lvlOverride w:ilvl="4"/>
    <w:lvlOverride w:ilvl="5"/>
    <w:lvlOverride w:ilvl="6"/>
    <w:lvlOverride w:ilvl="7"/>
    <w:lvlOverride w:ilvl="8"/>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6F6"/>
    <w:rsid w:val="00006306"/>
    <w:rsid w:val="0003725B"/>
    <w:rsid w:val="00053FB8"/>
    <w:rsid w:val="000F4486"/>
    <w:rsid w:val="000F69BD"/>
    <w:rsid w:val="00106C1B"/>
    <w:rsid w:val="00114C23"/>
    <w:rsid w:val="00135A54"/>
    <w:rsid w:val="001616F6"/>
    <w:rsid w:val="00181B19"/>
    <w:rsid w:val="0019657A"/>
    <w:rsid w:val="00213E84"/>
    <w:rsid w:val="002456DF"/>
    <w:rsid w:val="00255C31"/>
    <w:rsid w:val="002B381D"/>
    <w:rsid w:val="002F678E"/>
    <w:rsid w:val="0030627D"/>
    <w:rsid w:val="0031167A"/>
    <w:rsid w:val="00346D87"/>
    <w:rsid w:val="00362F14"/>
    <w:rsid w:val="00367E49"/>
    <w:rsid w:val="00370A90"/>
    <w:rsid w:val="003812C2"/>
    <w:rsid w:val="003D3EAB"/>
    <w:rsid w:val="003E4BE8"/>
    <w:rsid w:val="003F32E7"/>
    <w:rsid w:val="00460B9E"/>
    <w:rsid w:val="004A06D1"/>
    <w:rsid w:val="004B03C7"/>
    <w:rsid w:val="0052560E"/>
    <w:rsid w:val="005F7597"/>
    <w:rsid w:val="0061390B"/>
    <w:rsid w:val="00620D33"/>
    <w:rsid w:val="00683994"/>
    <w:rsid w:val="006B6A33"/>
    <w:rsid w:val="006F0DD2"/>
    <w:rsid w:val="00720302"/>
    <w:rsid w:val="00740A47"/>
    <w:rsid w:val="007A5524"/>
    <w:rsid w:val="007D409B"/>
    <w:rsid w:val="00803868"/>
    <w:rsid w:val="00811917"/>
    <w:rsid w:val="008133FB"/>
    <w:rsid w:val="00832081"/>
    <w:rsid w:val="0084342B"/>
    <w:rsid w:val="008553DF"/>
    <w:rsid w:val="008767AF"/>
    <w:rsid w:val="008D158A"/>
    <w:rsid w:val="008F542B"/>
    <w:rsid w:val="00955543"/>
    <w:rsid w:val="00983778"/>
    <w:rsid w:val="00992674"/>
    <w:rsid w:val="0099330A"/>
    <w:rsid w:val="009D5D15"/>
    <w:rsid w:val="00A035E8"/>
    <w:rsid w:val="00A26435"/>
    <w:rsid w:val="00A6584D"/>
    <w:rsid w:val="00A82064"/>
    <w:rsid w:val="00AD749B"/>
    <w:rsid w:val="00AE15B7"/>
    <w:rsid w:val="00AE4E4D"/>
    <w:rsid w:val="00AF7C99"/>
    <w:rsid w:val="00B61385"/>
    <w:rsid w:val="00B85280"/>
    <w:rsid w:val="00BC4BFA"/>
    <w:rsid w:val="00BC5076"/>
    <w:rsid w:val="00BE6E77"/>
    <w:rsid w:val="00C37F73"/>
    <w:rsid w:val="00C47390"/>
    <w:rsid w:val="00C646CD"/>
    <w:rsid w:val="00C66628"/>
    <w:rsid w:val="00CA0CB8"/>
    <w:rsid w:val="00D2662D"/>
    <w:rsid w:val="00DF56CA"/>
    <w:rsid w:val="00E04AA3"/>
    <w:rsid w:val="00E42B08"/>
    <w:rsid w:val="00E436D7"/>
    <w:rsid w:val="00E5636E"/>
    <w:rsid w:val="00E65EAA"/>
    <w:rsid w:val="00E757A2"/>
    <w:rsid w:val="00E90E5C"/>
    <w:rsid w:val="00EC3E78"/>
    <w:rsid w:val="00EE1766"/>
    <w:rsid w:val="00EE27BA"/>
    <w:rsid w:val="00F125F9"/>
    <w:rsid w:val="00F61967"/>
    <w:rsid w:val="00FC1972"/>
    <w:rsid w:val="00FD1E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9314A0-4355-4822-BDF0-96047C938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link w:val="Nadpis1Char"/>
    <w:uiPriority w:val="9"/>
    <w:qFormat/>
    <w:rsid w:val="003F32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3F32E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55543"/>
    <w:pPr>
      <w:ind w:left="720"/>
      <w:contextualSpacing/>
    </w:pPr>
  </w:style>
  <w:style w:type="paragraph" w:styleId="Textbubliny">
    <w:name w:val="Balloon Text"/>
    <w:basedOn w:val="Normln"/>
    <w:link w:val="TextbublinyChar"/>
    <w:uiPriority w:val="99"/>
    <w:semiHidden/>
    <w:unhideWhenUsed/>
    <w:rsid w:val="0068399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83994"/>
    <w:rPr>
      <w:rFonts w:ascii="Tahoma" w:hAnsi="Tahoma" w:cs="Tahoma"/>
      <w:sz w:val="16"/>
      <w:szCs w:val="16"/>
    </w:rPr>
  </w:style>
  <w:style w:type="paragraph" w:customStyle="1" w:styleId="Default">
    <w:name w:val="Default"/>
    <w:rsid w:val="00992674"/>
    <w:pPr>
      <w:autoSpaceDE w:val="0"/>
      <w:autoSpaceDN w:val="0"/>
      <w:adjustRightInd w:val="0"/>
      <w:spacing w:after="0" w:line="240" w:lineRule="auto"/>
    </w:pPr>
    <w:rPr>
      <w:rFonts w:ascii="Times New Roman" w:eastAsia="Times New Roman" w:hAnsi="Times New Roman" w:cs="Times New Roman"/>
      <w:color w:val="000000"/>
      <w:sz w:val="24"/>
      <w:szCs w:val="24"/>
      <w:lang w:eastAsia="cs-CZ"/>
    </w:rPr>
  </w:style>
  <w:style w:type="paragraph" w:styleId="Textpoznpodarou">
    <w:name w:val="footnote text"/>
    <w:basedOn w:val="Normln"/>
    <w:link w:val="TextpoznpodarouChar"/>
    <w:semiHidden/>
    <w:unhideWhenUsed/>
    <w:rsid w:val="00A82064"/>
    <w:pPr>
      <w:spacing w:after="0" w:line="240" w:lineRule="auto"/>
    </w:pPr>
    <w:rPr>
      <w:rFonts w:ascii="Times New Roman" w:eastAsia="Times New Roman" w:hAnsi="Times New Roman" w:cs="Times New Roman"/>
      <w:sz w:val="20"/>
      <w:szCs w:val="20"/>
      <w:lang w:eastAsia="cs-CZ"/>
    </w:rPr>
  </w:style>
  <w:style w:type="character" w:customStyle="1" w:styleId="TextpoznpodarouChar">
    <w:name w:val="Text pozn. pod čarou Char"/>
    <w:basedOn w:val="Standardnpsmoodstavce"/>
    <w:link w:val="Textpoznpodarou"/>
    <w:semiHidden/>
    <w:rsid w:val="00A82064"/>
    <w:rPr>
      <w:rFonts w:ascii="Times New Roman" w:eastAsia="Times New Roman" w:hAnsi="Times New Roman" w:cs="Times New Roman"/>
      <w:sz w:val="20"/>
      <w:szCs w:val="20"/>
      <w:lang w:eastAsia="cs-CZ"/>
    </w:rPr>
  </w:style>
  <w:style w:type="paragraph" w:styleId="Zkladntext">
    <w:name w:val="Body Text"/>
    <w:basedOn w:val="Normln"/>
    <w:link w:val="ZkladntextChar"/>
    <w:semiHidden/>
    <w:unhideWhenUsed/>
    <w:rsid w:val="00A82064"/>
    <w:pPr>
      <w:spacing w:after="120" w:line="240" w:lineRule="auto"/>
    </w:pPr>
    <w:rPr>
      <w:rFonts w:ascii="Times New Roman" w:eastAsia="Times New Roman" w:hAnsi="Times New Roman" w:cs="Times New Roman"/>
      <w:sz w:val="24"/>
      <w:szCs w:val="24"/>
      <w:lang w:eastAsia="cs-CZ"/>
    </w:rPr>
  </w:style>
  <w:style w:type="character" w:customStyle="1" w:styleId="ZkladntextChar">
    <w:name w:val="Základní text Char"/>
    <w:basedOn w:val="Standardnpsmoodstavce"/>
    <w:link w:val="Zkladntext"/>
    <w:semiHidden/>
    <w:rsid w:val="00A82064"/>
    <w:rPr>
      <w:rFonts w:ascii="Times New Roman" w:eastAsia="Times New Roman" w:hAnsi="Times New Roman" w:cs="Times New Roman"/>
      <w:sz w:val="24"/>
      <w:szCs w:val="24"/>
      <w:lang w:eastAsia="cs-CZ"/>
    </w:rPr>
  </w:style>
  <w:style w:type="paragraph" w:styleId="Zkladntext3">
    <w:name w:val="Body Text 3"/>
    <w:basedOn w:val="Normln"/>
    <w:link w:val="Zkladntext3Char"/>
    <w:semiHidden/>
    <w:unhideWhenUsed/>
    <w:rsid w:val="00A82064"/>
    <w:pPr>
      <w:spacing w:after="120" w:line="240" w:lineRule="auto"/>
    </w:pPr>
    <w:rPr>
      <w:rFonts w:ascii="Times New Roman" w:eastAsia="Times New Roman" w:hAnsi="Times New Roman" w:cs="Times New Roman"/>
      <w:sz w:val="16"/>
      <w:szCs w:val="16"/>
      <w:lang w:eastAsia="cs-CZ"/>
    </w:rPr>
  </w:style>
  <w:style w:type="character" w:customStyle="1" w:styleId="Zkladntext3Char">
    <w:name w:val="Základní text 3 Char"/>
    <w:basedOn w:val="Standardnpsmoodstavce"/>
    <w:link w:val="Zkladntext3"/>
    <w:semiHidden/>
    <w:rsid w:val="00A82064"/>
    <w:rPr>
      <w:rFonts w:ascii="Times New Roman" w:eastAsia="Times New Roman" w:hAnsi="Times New Roman" w:cs="Times New Roman"/>
      <w:sz w:val="16"/>
      <w:szCs w:val="16"/>
      <w:lang w:eastAsia="cs-CZ"/>
    </w:rPr>
  </w:style>
  <w:style w:type="character" w:styleId="Znakapoznpodarou">
    <w:name w:val="footnote reference"/>
    <w:semiHidden/>
    <w:unhideWhenUsed/>
    <w:rsid w:val="00A82064"/>
    <w:rPr>
      <w:vertAlign w:val="superscript"/>
    </w:rPr>
  </w:style>
  <w:style w:type="character" w:styleId="Siln">
    <w:name w:val="Strong"/>
    <w:basedOn w:val="Standardnpsmoodstavce"/>
    <w:qFormat/>
    <w:rsid w:val="00A82064"/>
    <w:rPr>
      <w:b/>
      <w:bCs/>
    </w:rPr>
  </w:style>
  <w:style w:type="paragraph" w:styleId="Zhlav">
    <w:name w:val="header"/>
    <w:basedOn w:val="Normln"/>
    <w:link w:val="ZhlavChar"/>
    <w:uiPriority w:val="99"/>
    <w:unhideWhenUsed/>
    <w:rsid w:val="003F32E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F32E7"/>
  </w:style>
  <w:style w:type="paragraph" w:styleId="Zpat">
    <w:name w:val="footer"/>
    <w:basedOn w:val="Normln"/>
    <w:link w:val="ZpatChar"/>
    <w:uiPriority w:val="99"/>
    <w:unhideWhenUsed/>
    <w:rsid w:val="003F32E7"/>
    <w:pPr>
      <w:tabs>
        <w:tab w:val="center" w:pos="4536"/>
        <w:tab w:val="right" w:pos="9072"/>
      </w:tabs>
      <w:spacing w:after="0" w:line="240" w:lineRule="auto"/>
    </w:pPr>
  </w:style>
  <w:style w:type="character" w:customStyle="1" w:styleId="ZpatChar">
    <w:name w:val="Zápatí Char"/>
    <w:basedOn w:val="Standardnpsmoodstavce"/>
    <w:link w:val="Zpat"/>
    <w:uiPriority w:val="99"/>
    <w:rsid w:val="003F32E7"/>
  </w:style>
  <w:style w:type="character" w:customStyle="1" w:styleId="Nadpis1Char">
    <w:name w:val="Nadpis 1 Char"/>
    <w:basedOn w:val="Standardnpsmoodstavce"/>
    <w:link w:val="Nadpis1"/>
    <w:uiPriority w:val="9"/>
    <w:rsid w:val="003F32E7"/>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3F32E7"/>
    <w:rPr>
      <w:rFonts w:asciiTheme="majorHAnsi" w:eastAsiaTheme="majorEastAsia" w:hAnsiTheme="majorHAnsi" w:cstheme="majorBidi"/>
      <w:b/>
      <w:bCs/>
      <w:color w:val="4F81BD" w:themeColor="accent1"/>
      <w:sz w:val="26"/>
      <w:szCs w:val="26"/>
    </w:rPr>
  </w:style>
  <w:style w:type="paragraph" w:styleId="Nadpisobsahu">
    <w:name w:val="TOC Heading"/>
    <w:basedOn w:val="Nadpis1"/>
    <w:next w:val="Normln"/>
    <w:uiPriority w:val="39"/>
    <w:semiHidden/>
    <w:unhideWhenUsed/>
    <w:qFormat/>
    <w:rsid w:val="003F32E7"/>
    <w:pPr>
      <w:outlineLvl w:val="9"/>
    </w:pPr>
    <w:rPr>
      <w:lang w:eastAsia="cs-CZ"/>
    </w:rPr>
  </w:style>
  <w:style w:type="paragraph" w:styleId="Obsah1">
    <w:name w:val="toc 1"/>
    <w:basedOn w:val="Normln"/>
    <w:next w:val="Normln"/>
    <w:autoRedefine/>
    <w:uiPriority w:val="39"/>
    <w:unhideWhenUsed/>
    <w:rsid w:val="003F32E7"/>
    <w:pPr>
      <w:spacing w:after="100"/>
    </w:pPr>
  </w:style>
  <w:style w:type="paragraph" w:styleId="Obsah2">
    <w:name w:val="toc 2"/>
    <w:basedOn w:val="Normln"/>
    <w:next w:val="Normln"/>
    <w:autoRedefine/>
    <w:uiPriority w:val="39"/>
    <w:unhideWhenUsed/>
    <w:rsid w:val="003F32E7"/>
    <w:pPr>
      <w:spacing w:after="100"/>
      <w:ind w:left="220"/>
    </w:pPr>
  </w:style>
  <w:style w:type="character" w:styleId="Hypertextovodkaz">
    <w:name w:val="Hyperlink"/>
    <w:basedOn w:val="Standardnpsmoodstavce"/>
    <w:uiPriority w:val="99"/>
    <w:unhideWhenUsed/>
    <w:rsid w:val="003F32E7"/>
    <w:rPr>
      <w:color w:val="0000FF" w:themeColor="hyperlink"/>
      <w:u w:val="single"/>
    </w:rPr>
  </w:style>
  <w:style w:type="character" w:styleId="Odkaznakoment">
    <w:name w:val="annotation reference"/>
    <w:basedOn w:val="Standardnpsmoodstavce"/>
    <w:uiPriority w:val="99"/>
    <w:semiHidden/>
    <w:unhideWhenUsed/>
    <w:rsid w:val="00EE1766"/>
    <w:rPr>
      <w:sz w:val="16"/>
      <w:szCs w:val="16"/>
    </w:rPr>
  </w:style>
  <w:style w:type="paragraph" w:styleId="Textkomente">
    <w:name w:val="annotation text"/>
    <w:basedOn w:val="Normln"/>
    <w:link w:val="TextkomenteChar"/>
    <w:uiPriority w:val="99"/>
    <w:semiHidden/>
    <w:unhideWhenUsed/>
    <w:rsid w:val="00EE1766"/>
    <w:pPr>
      <w:spacing w:line="240" w:lineRule="auto"/>
    </w:pPr>
    <w:rPr>
      <w:sz w:val="20"/>
      <w:szCs w:val="20"/>
    </w:rPr>
  </w:style>
  <w:style w:type="character" w:customStyle="1" w:styleId="TextkomenteChar">
    <w:name w:val="Text komentáře Char"/>
    <w:basedOn w:val="Standardnpsmoodstavce"/>
    <w:link w:val="Textkomente"/>
    <w:uiPriority w:val="99"/>
    <w:semiHidden/>
    <w:rsid w:val="00EE1766"/>
    <w:rPr>
      <w:sz w:val="20"/>
      <w:szCs w:val="20"/>
    </w:rPr>
  </w:style>
  <w:style w:type="paragraph" w:styleId="Pedmtkomente">
    <w:name w:val="annotation subject"/>
    <w:basedOn w:val="Textkomente"/>
    <w:next w:val="Textkomente"/>
    <w:link w:val="PedmtkomenteChar"/>
    <w:uiPriority w:val="99"/>
    <w:semiHidden/>
    <w:unhideWhenUsed/>
    <w:rsid w:val="00EE1766"/>
    <w:rPr>
      <w:b/>
      <w:bCs/>
    </w:rPr>
  </w:style>
  <w:style w:type="character" w:customStyle="1" w:styleId="PedmtkomenteChar">
    <w:name w:val="Předmět komentáře Char"/>
    <w:basedOn w:val="TextkomenteChar"/>
    <w:link w:val="Pedmtkomente"/>
    <w:uiPriority w:val="99"/>
    <w:semiHidden/>
    <w:rsid w:val="00EE176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095986">
      <w:bodyDiv w:val="1"/>
      <w:marLeft w:val="0"/>
      <w:marRight w:val="0"/>
      <w:marTop w:val="0"/>
      <w:marBottom w:val="0"/>
      <w:divBdr>
        <w:top w:val="none" w:sz="0" w:space="0" w:color="auto"/>
        <w:left w:val="none" w:sz="0" w:space="0" w:color="auto"/>
        <w:bottom w:val="none" w:sz="0" w:space="0" w:color="auto"/>
        <w:right w:val="none" w:sz="0" w:space="0" w:color="auto"/>
      </w:divBdr>
    </w:div>
    <w:div w:id="1154562239">
      <w:bodyDiv w:val="1"/>
      <w:marLeft w:val="0"/>
      <w:marRight w:val="0"/>
      <w:marTop w:val="0"/>
      <w:marBottom w:val="0"/>
      <w:divBdr>
        <w:top w:val="none" w:sz="0" w:space="0" w:color="auto"/>
        <w:left w:val="none" w:sz="0" w:space="0" w:color="auto"/>
        <w:bottom w:val="none" w:sz="0" w:space="0" w:color="auto"/>
        <w:right w:val="none" w:sz="0" w:space="0" w:color="auto"/>
      </w:divBdr>
    </w:div>
    <w:div w:id="1230923779">
      <w:bodyDiv w:val="1"/>
      <w:marLeft w:val="0"/>
      <w:marRight w:val="0"/>
      <w:marTop w:val="0"/>
      <w:marBottom w:val="0"/>
      <w:divBdr>
        <w:top w:val="none" w:sz="0" w:space="0" w:color="auto"/>
        <w:left w:val="none" w:sz="0" w:space="0" w:color="auto"/>
        <w:bottom w:val="none" w:sz="0" w:space="0" w:color="auto"/>
        <w:right w:val="none" w:sz="0" w:space="0" w:color="auto"/>
      </w:divBdr>
    </w:div>
    <w:div w:id="1337998039">
      <w:bodyDiv w:val="1"/>
      <w:marLeft w:val="0"/>
      <w:marRight w:val="0"/>
      <w:marTop w:val="0"/>
      <w:marBottom w:val="0"/>
      <w:divBdr>
        <w:top w:val="none" w:sz="0" w:space="0" w:color="auto"/>
        <w:left w:val="none" w:sz="0" w:space="0" w:color="auto"/>
        <w:bottom w:val="none" w:sz="0" w:space="0" w:color="auto"/>
        <w:right w:val="none" w:sz="0" w:space="0" w:color="auto"/>
      </w:divBdr>
    </w:div>
    <w:div w:id="1579365606">
      <w:bodyDiv w:val="1"/>
      <w:marLeft w:val="0"/>
      <w:marRight w:val="0"/>
      <w:marTop w:val="0"/>
      <w:marBottom w:val="0"/>
      <w:divBdr>
        <w:top w:val="none" w:sz="0" w:space="0" w:color="auto"/>
        <w:left w:val="none" w:sz="0" w:space="0" w:color="auto"/>
        <w:bottom w:val="none" w:sz="0" w:space="0" w:color="auto"/>
        <w:right w:val="none" w:sz="0" w:space="0" w:color="auto"/>
      </w:divBdr>
    </w:div>
    <w:div w:id="1813449913">
      <w:bodyDiv w:val="1"/>
      <w:marLeft w:val="0"/>
      <w:marRight w:val="0"/>
      <w:marTop w:val="0"/>
      <w:marBottom w:val="0"/>
      <w:divBdr>
        <w:top w:val="none" w:sz="0" w:space="0" w:color="auto"/>
        <w:left w:val="none" w:sz="0" w:space="0" w:color="auto"/>
        <w:bottom w:val="none" w:sz="0" w:space="0" w:color="auto"/>
        <w:right w:val="none" w:sz="0" w:space="0" w:color="auto"/>
      </w:divBdr>
    </w:div>
    <w:div w:id="187650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0662C-0A1E-4193-9936-9D0022CDB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3123</Words>
  <Characters>18431</Characters>
  <Application>Microsoft Office Word</Application>
  <DocSecurity>0</DocSecurity>
  <Lines>153</Lines>
  <Paragraphs>43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21511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MALÁ Martina, Ing.</cp:lastModifiedBy>
  <cp:revision>3</cp:revision>
  <cp:lastPrinted>2018-03-07T11:26:00Z</cp:lastPrinted>
  <dcterms:created xsi:type="dcterms:W3CDTF">2018-11-30T13:31:00Z</dcterms:created>
  <dcterms:modified xsi:type="dcterms:W3CDTF">2018-11-30T13:32:00Z</dcterms:modified>
</cp:coreProperties>
</file>