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vrchní ministerský rada oddělení </w:t>
      </w:r>
      <w:r w:rsidR="00212D2C">
        <w:rPr>
          <w:rFonts w:ascii="Arial" w:hAnsi="Arial" w:cs="Arial"/>
          <w:sz w:val="24"/>
          <w:szCs w:val="24"/>
        </w:rPr>
        <w:t>Kancelář náměstka ministra vnitra pro státní službu</w:t>
      </w:r>
      <w:r w:rsidR="00877CFD" w:rsidRPr="00877CFD">
        <w:rPr>
          <w:rFonts w:ascii="Arial" w:hAnsi="Arial" w:cs="Arial"/>
          <w:sz w:val="24"/>
          <w:szCs w:val="24"/>
        </w:rPr>
        <w:t xml:space="preserve">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12D2C"/>
    <w:rsid w:val="002817B8"/>
    <w:rsid w:val="00416301"/>
    <w:rsid w:val="00424E1C"/>
    <w:rsid w:val="00527319"/>
    <w:rsid w:val="005A15DE"/>
    <w:rsid w:val="006C3161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2016-04-29T08:59:00Z</dcterms:created>
  <dcterms:modified xsi:type="dcterms:W3CDTF">2016-08-09T11:10:00Z</dcterms:modified>
</cp:coreProperties>
</file>