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E7E" w:rsidRDefault="00BC0E7E" w:rsidP="00BC0E7E">
      <w:pPr>
        <w:pStyle w:val="Nadpis2"/>
        <w:spacing w:before="0" w:after="120" w:line="276" w:lineRule="auto"/>
        <w:jc w:val="both"/>
        <w:rPr>
          <w:i w:val="0"/>
          <w:sz w:val="22"/>
          <w:szCs w:val="22"/>
        </w:rPr>
      </w:pPr>
    </w:p>
    <w:p w:rsidR="00BC0E7E" w:rsidRDefault="00BC0E7E" w:rsidP="00BC0E7E">
      <w:pPr>
        <w:pStyle w:val="Nadpis2"/>
        <w:spacing w:before="0" w:after="120" w:line="276" w:lineRule="auto"/>
        <w:jc w:val="center"/>
        <w:rPr>
          <w:i w:val="0"/>
        </w:rPr>
      </w:pPr>
      <w:r>
        <w:rPr>
          <w:i w:val="0"/>
        </w:rPr>
        <w:t>Příloha č. 3 Zadávací dokumentace</w:t>
      </w:r>
    </w:p>
    <w:p w:rsidR="00BC0E7E" w:rsidRDefault="00BC0E7E" w:rsidP="00BC0E7E">
      <w:pPr>
        <w:jc w:val="center"/>
        <w:rPr>
          <w:rFonts w:ascii="Arial" w:hAnsi="Arial" w:cs="Arial"/>
          <w:b/>
          <w:sz w:val="28"/>
          <w:szCs w:val="28"/>
          <w:lang w:eastAsia="ar-SA"/>
        </w:rPr>
      </w:pPr>
      <w:r w:rsidRPr="00BC0E7E">
        <w:rPr>
          <w:rFonts w:ascii="Arial" w:hAnsi="Arial" w:cs="Arial"/>
          <w:b/>
          <w:sz w:val="28"/>
          <w:szCs w:val="28"/>
          <w:lang w:eastAsia="ar-SA"/>
        </w:rPr>
        <w:t xml:space="preserve">Veřejná zakázka: </w:t>
      </w:r>
    </w:p>
    <w:p w:rsidR="00BC0E7E" w:rsidRDefault="00BC0E7E" w:rsidP="00BC0E7E">
      <w:pPr>
        <w:jc w:val="center"/>
        <w:rPr>
          <w:rFonts w:ascii="Arial" w:hAnsi="Arial" w:cs="Arial"/>
          <w:b/>
          <w:bCs/>
          <w:sz w:val="28"/>
          <w:szCs w:val="28"/>
        </w:rPr>
      </w:pPr>
      <w:r>
        <w:rPr>
          <w:rFonts w:ascii="Arial" w:hAnsi="Arial" w:cs="Arial"/>
          <w:b/>
          <w:sz w:val="28"/>
          <w:szCs w:val="28"/>
          <w:lang w:eastAsia="ar-SA"/>
        </w:rPr>
        <w:t>„</w:t>
      </w:r>
      <w:r w:rsidRPr="00BC0E7E">
        <w:rPr>
          <w:rFonts w:ascii="Arial" w:hAnsi="Arial" w:cs="Arial"/>
          <w:b/>
          <w:bCs/>
          <w:sz w:val="28"/>
          <w:szCs w:val="28"/>
        </w:rPr>
        <w:t xml:space="preserve">Vybavení podatelny a konferenční místnosti </w:t>
      </w:r>
    </w:p>
    <w:p w:rsidR="00BC0E7E" w:rsidRPr="00BC0E7E" w:rsidRDefault="00BC0E7E" w:rsidP="00BC0E7E">
      <w:pPr>
        <w:jc w:val="center"/>
        <w:rPr>
          <w:rFonts w:ascii="Arial" w:hAnsi="Arial" w:cs="Arial"/>
          <w:b/>
          <w:sz w:val="28"/>
          <w:szCs w:val="28"/>
          <w:lang w:eastAsia="ar-SA"/>
        </w:rPr>
      </w:pPr>
      <w:r w:rsidRPr="00BC0E7E">
        <w:rPr>
          <w:rFonts w:ascii="Arial" w:hAnsi="Arial" w:cs="Arial"/>
          <w:b/>
          <w:bCs/>
          <w:sz w:val="28"/>
          <w:szCs w:val="28"/>
        </w:rPr>
        <w:t xml:space="preserve">kancelářským nábytkem </w:t>
      </w:r>
      <w:r>
        <w:rPr>
          <w:rFonts w:ascii="Arial" w:hAnsi="Arial" w:cs="Arial"/>
          <w:b/>
          <w:bCs/>
          <w:sz w:val="28"/>
          <w:szCs w:val="28"/>
        </w:rPr>
        <w:t>–</w:t>
      </w:r>
      <w:r w:rsidRPr="00BC0E7E">
        <w:rPr>
          <w:rFonts w:ascii="Arial" w:hAnsi="Arial" w:cs="Arial"/>
          <w:b/>
          <w:bCs/>
          <w:sz w:val="28"/>
          <w:szCs w:val="28"/>
        </w:rPr>
        <w:t xml:space="preserve"> 2</w:t>
      </w:r>
      <w:r>
        <w:rPr>
          <w:rFonts w:ascii="Arial" w:hAnsi="Arial" w:cs="Arial"/>
          <w:b/>
          <w:bCs/>
          <w:sz w:val="28"/>
          <w:szCs w:val="28"/>
        </w:rPr>
        <w:t>“</w:t>
      </w:r>
    </w:p>
    <w:p w:rsidR="00BC0E7E" w:rsidRDefault="00BC0E7E" w:rsidP="00BC0E7E">
      <w:pPr>
        <w:pStyle w:val="Nadpis2"/>
        <w:spacing w:before="0" w:after="120" w:line="276" w:lineRule="auto"/>
        <w:jc w:val="both"/>
        <w:rPr>
          <w:i w:val="0"/>
          <w:sz w:val="22"/>
          <w:szCs w:val="22"/>
        </w:rPr>
      </w:pPr>
    </w:p>
    <w:p w:rsidR="00BC0E7E" w:rsidRPr="0061550B" w:rsidRDefault="00BC0E7E" w:rsidP="00BC0E7E">
      <w:pPr>
        <w:pStyle w:val="Nadpis2"/>
        <w:spacing w:before="0" w:after="120" w:line="276" w:lineRule="auto"/>
        <w:jc w:val="both"/>
        <w:rPr>
          <w:i w:val="0"/>
          <w:sz w:val="22"/>
          <w:szCs w:val="22"/>
        </w:rPr>
      </w:pPr>
      <w:r w:rsidRPr="0061550B">
        <w:rPr>
          <w:i w:val="0"/>
          <w:sz w:val="22"/>
          <w:szCs w:val="22"/>
        </w:rPr>
        <w:t>Všechny níže uvedené obchodní a platební podmínky je uchazeč povinen zapracovat do návrhu smlouvy, který předloží jako součást své nabídky na plnění veřejné zakázky.</w:t>
      </w:r>
    </w:p>
    <w:p w:rsidR="00BC0E7E" w:rsidRPr="0061550B" w:rsidRDefault="00BC0E7E" w:rsidP="00BC0E7E">
      <w:pPr>
        <w:jc w:val="both"/>
        <w:rPr>
          <w:rFonts w:ascii="Arial" w:hAnsi="Arial" w:cs="Arial"/>
          <w:sz w:val="22"/>
          <w:szCs w:val="22"/>
        </w:rPr>
      </w:pPr>
    </w:p>
    <w:p w:rsidR="00BC0E7E" w:rsidRPr="0061550B" w:rsidRDefault="00BC0E7E" w:rsidP="00BC0E7E">
      <w:pPr>
        <w:pStyle w:val="Nadpis2"/>
        <w:spacing w:before="0" w:after="120" w:line="276" w:lineRule="auto"/>
        <w:jc w:val="both"/>
        <w:rPr>
          <w:i w:val="0"/>
          <w:sz w:val="22"/>
          <w:szCs w:val="22"/>
        </w:rPr>
      </w:pPr>
      <w:r w:rsidRPr="0061550B">
        <w:rPr>
          <w:i w:val="0"/>
          <w:sz w:val="22"/>
          <w:szCs w:val="22"/>
        </w:rPr>
        <w:t xml:space="preserve">Uchazeč v návrhu smlouvy rovněž prohlásí, že si je plně vědom způsobu kofinancování ceny projektu z Evropského sociálního fondu – operačního programu Lidské zdroje a zaměstnanost, přičemž se náležitě seznámil se všemi podmínkami stanovenými tímto programem, které se zavazuje pro účely plnění smlouvy dodržovat. </w:t>
      </w:r>
    </w:p>
    <w:p w:rsidR="00BC0E7E" w:rsidRPr="0061550B" w:rsidRDefault="00BC0E7E" w:rsidP="00BC0E7E">
      <w:pPr>
        <w:rPr>
          <w:rFonts w:ascii="Arial" w:hAnsi="Arial" w:cs="Arial"/>
          <w:sz w:val="22"/>
          <w:szCs w:val="22"/>
        </w:rPr>
      </w:pP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Uchazeč je povinen podat návrh smlouvy pokrývající celý předmět plnění veřejné zakázky.</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Návrh smlouvy musí být ze strany uchazeče podepsán statutárním orgánem nebo jinou osobou k tomu oprávněnou. Originál či úředně ověřená kopie tohoto oprávnění musí být v takovém případě součástí nabídky uchazeče.</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 xml:space="preserve">Návrh smlouvy nesmí vyloučit či žádným způsobem omezovat oprávnění zadavatele uvedená v těchto zadávacích podmínkách; v opačném případě nabídka nesplňuje zadávací podmínky a uchazeč bude vyřazen z účasti v zadávacím řízení. </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Uchazeč je povinen při poskytování služeb řídit se pokyny zadavatele, resp. upozornit na nevhodnost pokynu zadavatele.</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Uchazeč je oprávněn vstupovat do objektů zadavatele v souvislosti s plněním smlouvy jen se souhlasem nebo v přítomnosti oprávněné osoby zadavatele.</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Uchazeč je povinen v návrhu smlouvy uvést, že zadavatel je oprávněn písemně odstoupit od uzavřené smlouvy kdykoliv během doby jejího trvání v případě, že nebude mít ze svého schváleného rozpočtu zajištěny dostatečné finanční prostředky pro úhradu plnění veřejné zakázky. Účinky odstoupení nastávají okamžikem doručení písemného úkonu zadavatele, jehož obsahem bude projev vůle od smlouvy odstoupit.</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Návrh smlouvy musí rovněž respektovat ustanovení obchodního zákoníku a dalších právních předpisů, které se vztahují na provádění veřejné zakázky.</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Podává-li nabídku více dodavatelů společně, ve smlouvě o solidárním závazku ve smyslu § 51 odst. 6 zákona bude uvedeno, který z dodavatelů je oprávněn jednat za ostatní účastníky ve věcech spojených s poskytováním plnění veřejné zakázky či její určité části a kterou konkrétní část plnění bude fakticky poskytovat každý z dodavatelů, přičemž uvedené nemá vliv na společnou a nerozdílnou odpovědnost společných dodavatelů.</w:t>
      </w:r>
    </w:p>
    <w:p w:rsidR="00BC0E7E" w:rsidRDefault="00BC0E7E" w:rsidP="00BC0E7E">
      <w:pPr>
        <w:spacing w:after="120" w:line="276" w:lineRule="auto"/>
        <w:jc w:val="both"/>
        <w:rPr>
          <w:rFonts w:ascii="Arial" w:hAnsi="Arial" w:cs="Arial"/>
          <w:sz w:val="22"/>
          <w:szCs w:val="22"/>
        </w:rPr>
      </w:pPr>
    </w:p>
    <w:p w:rsidR="00BC0E7E" w:rsidRDefault="00BC0E7E" w:rsidP="00BC0E7E">
      <w:pPr>
        <w:spacing w:after="120" w:line="276" w:lineRule="auto"/>
        <w:jc w:val="both"/>
        <w:rPr>
          <w:rFonts w:ascii="Arial" w:hAnsi="Arial" w:cs="Arial"/>
          <w:sz w:val="22"/>
          <w:szCs w:val="22"/>
        </w:rPr>
      </w:pPr>
    </w:p>
    <w:p w:rsidR="00BC0E7E" w:rsidRDefault="00BC0E7E" w:rsidP="00BC0E7E">
      <w:pPr>
        <w:spacing w:after="120" w:line="276" w:lineRule="auto"/>
        <w:jc w:val="both"/>
        <w:rPr>
          <w:rFonts w:ascii="Arial" w:hAnsi="Arial" w:cs="Arial"/>
          <w:sz w:val="22"/>
          <w:szCs w:val="22"/>
        </w:rPr>
      </w:pPr>
    </w:p>
    <w:p w:rsidR="00BC0E7E" w:rsidRDefault="00BC0E7E" w:rsidP="00BC0E7E">
      <w:pPr>
        <w:spacing w:after="120" w:line="276" w:lineRule="auto"/>
        <w:jc w:val="both"/>
        <w:rPr>
          <w:rFonts w:ascii="Arial" w:hAnsi="Arial" w:cs="Arial"/>
          <w:sz w:val="22"/>
          <w:szCs w:val="22"/>
        </w:rPr>
      </w:pP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V případě, že část veřejné zakázky bude plněna formou subdodávky, požaduje zadavatel uvést v nabídce dodavatele, jaká konkrétní část plnění veřejné zakázky bude zadána třetím osobám, a které osoby to budou (u subdodavatele je dodavatel povinen uvést jeho identifikační údaje dle § 17 písm. d) zákona). Úprava či doplnění seznamu subdodavatelů v průběhu plnění veřejné zakázky jsou možné pouze na základě písemné dohody smluvních stran.</w:t>
      </w:r>
      <w:bookmarkStart w:id="0" w:name="_Toc208292153"/>
    </w:p>
    <w:bookmarkEnd w:id="0"/>
    <w:p w:rsidR="00BC0E7E" w:rsidRPr="0061550B" w:rsidRDefault="00BC0E7E" w:rsidP="00BC0E7E">
      <w:pPr>
        <w:pStyle w:val="Nadpis2"/>
        <w:numPr>
          <w:ilvl w:val="1"/>
          <w:numId w:val="0"/>
        </w:numPr>
        <w:tabs>
          <w:tab w:val="num" w:pos="567"/>
        </w:tabs>
        <w:suppressAutoHyphens w:val="0"/>
        <w:ind w:left="567" w:hanging="567"/>
        <w:rPr>
          <w:i w:val="0"/>
          <w:sz w:val="22"/>
          <w:szCs w:val="22"/>
        </w:rPr>
      </w:pPr>
      <w:r w:rsidRPr="0061550B">
        <w:rPr>
          <w:i w:val="0"/>
          <w:sz w:val="22"/>
          <w:szCs w:val="22"/>
        </w:rPr>
        <w:t>Dodací podmínky</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Termín zahájení realizace služeb:</w:t>
      </w:r>
      <w:r w:rsidRPr="0061550B">
        <w:rPr>
          <w:rFonts w:ascii="Arial" w:hAnsi="Arial" w:cs="Arial"/>
          <w:sz w:val="22"/>
          <w:szCs w:val="22"/>
        </w:rPr>
        <w:tab/>
        <w:t xml:space="preserve">bezodkladně po podpisu smlouvy, předpokládaný termín zahájení je měsíc </w:t>
      </w:r>
      <w:r>
        <w:rPr>
          <w:rFonts w:ascii="Arial" w:hAnsi="Arial" w:cs="Arial"/>
          <w:sz w:val="22"/>
          <w:szCs w:val="22"/>
        </w:rPr>
        <w:t>leden roku 2011</w:t>
      </w:r>
      <w:r w:rsidRPr="0061550B">
        <w:rPr>
          <w:rFonts w:ascii="Arial" w:hAnsi="Arial" w:cs="Arial"/>
          <w:sz w:val="22"/>
          <w:szCs w:val="22"/>
        </w:rPr>
        <w:t>.</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Termín ukončení realizace služeb:</w:t>
      </w:r>
      <w:r w:rsidRPr="0061550B">
        <w:rPr>
          <w:rFonts w:ascii="Arial" w:hAnsi="Arial" w:cs="Arial"/>
          <w:sz w:val="22"/>
          <w:szCs w:val="22"/>
        </w:rPr>
        <w:tab/>
        <w:t>maximálně 15 kalendářních dní od podpisu smlouvy</w:t>
      </w:r>
    </w:p>
    <w:p w:rsidR="00BC0E7E" w:rsidRPr="0061550B" w:rsidRDefault="00BC0E7E" w:rsidP="00BC0E7E">
      <w:pPr>
        <w:pStyle w:val="Nadpis2"/>
        <w:numPr>
          <w:ilvl w:val="1"/>
          <w:numId w:val="0"/>
        </w:numPr>
        <w:tabs>
          <w:tab w:val="num" w:pos="567"/>
        </w:tabs>
        <w:suppressAutoHyphens w:val="0"/>
        <w:ind w:left="567" w:hanging="567"/>
        <w:rPr>
          <w:i w:val="0"/>
          <w:sz w:val="22"/>
          <w:szCs w:val="22"/>
        </w:rPr>
      </w:pPr>
      <w:r w:rsidRPr="0061550B">
        <w:rPr>
          <w:i w:val="0"/>
          <w:sz w:val="22"/>
          <w:szCs w:val="22"/>
        </w:rPr>
        <w:t>Platební podmínky</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 xml:space="preserve">Úhrada ceny bude prováděna po dodání a montáži všech součástí předmětu veřejné zakázky, v souladu se smlouvou. </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Platby za poskytnuté služby budou realizovány bezhotovostním převodem na základě faktury vystavené dodavatelem.</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Ceny musí být uvedeny v Kč, vždy bez DPH a s DPH.</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Dodavatel je povinen po vzniku práva fakturovat vystavit a zadavateli předat faktury ve trojím vyhotovení.</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 xml:space="preserve">Faktura musí obsahovat informaci, že se jedná o projekt hrazený z IOP a OP LZZ a registrační číslo projektu, které bude zadavatelem uvedeno ve smlouvě o dílo. </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Dodavatel se zavazuje dodržovat případné další pokyny zadavatele na formální požadavky faktury ohledně informací k financování projektu z programu z IOP a OP LZZ.</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 xml:space="preserve">Faktury musí obsahovat číslo jednací smlouvy, číslo účtu dodavatele </w:t>
      </w:r>
      <w:r w:rsidRPr="0061550B">
        <w:rPr>
          <w:rFonts w:ascii="Arial" w:hAnsi="Arial" w:cs="Arial"/>
          <w:sz w:val="22"/>
          <w:szCs w:val="22"/>
        </w:rPr>
        <w:br/>
        <w:t>a všechny údaje uvedené v ustanovení § 28 odstavci 2 zákona č. 235/2004 Sb., o dani z přidané hodnoty, v platném znění, a v ustanovení § 13a zákona č. 513/1991 Sb., obchodního zákoníku, v platném znění.</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 xml:space="preserve">Faktura je splatná do 21 kalendářních dnů ode dne jejího doručení Zadavateli na adresu: Jindřišská 34, Praha 1, 110 00. </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Zadavatel je oprávněn do data splatnosti vrátit fakturu, která neobsahuje požadované náležitosti, která obsahuje jiné cenové údaje nebo jiný druh služeb než bylo dohodnuto ve smlouvě s tím, že doba splatnosti nové (opravené) faktury začíná znovu běžet ode dne jejího doručení zadavateli.</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Faktura je považována za proplacenou okamžikem odepsání příslušné částky z účtu zadavatele; zálohové platby zadavatel neposkytuje.</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Uchazeč se v návrhu smlouvy zaváže k povinnosti umožnit osobám oprávněným k výkonu kontroly projektu, z něhož je zakázka hrazena, provést kontrolu dokladů souvisejících s plněním zakázky, a to po dobu danou právními předpisy ČR k jejich archivaci (zákon č. 563/1991 Sb., o účetnictví a zákon č. 235/2004 Sb., o DPH).</w:t>
      </w:r>
    </w:p>
    <w:p w:rsidR="00BC0E7E" w:rsidRDefault="00BC0E7E" w:rsidP="00BC0E7E">
      <w:pPr>
        <w:pStyle w:val="Nadpis2"/>
        <w:numPr>
          <w:ilvl w:val="1"/>
          <w:numId w:val="0"/>
        </w:numPr>
        <w:tabs>
          <w:tab w:val="num" w:pos="567"/>
        </w:tabs>
        <w:suppressAutoHyphens w:val="0"/>
        <w:ind w:left="567" w:hanging="567"/>
        <w:rPr>
          <w:i w:val="0"/>
          <w:sz w:val="22"/>
          <w:szCs w:val="22"/>
        </w:rPr>
      </w:pPr>
    </w:p>
    <w:p w:rsidR="00BC0E7E" w:rsidRDefault="00BC0E7E" w:rsidP="00BC0E7E">
      <w:pPr>
        <w:pStyle w:val="Nadpis2"/>
        <w:numPr>
          <w:ilvl w:val="1"/>
          <w:numId w:val="0"/>
        </w:numPr>
        <w:tabs>
          <w:tab w:val="num" w:pos="567"/>
        </w:tabs>
        <w:suppressAutoHyphens w:val="0"/>
        <w:ind w:left="567" w:hanging="567"/>
        <w:rPr>
          <w:i w:val="0"/>
          <w:sz w:val="22"/>
          <w:szCs w:val="22"/>
        </w:rPr>
      </w:pPr>
    </w:p>
    <w:p w:rsidR="00BC0E7E" w:rsidRPr="0061550B" w:rsidRDefault="00BC0E7E" w:rsidP="00BC0E7E">
      <w:pPr>
        <w:pStyle w:val="Nadpis2"/>
        <w:numPr>
          <w:ilvl w:val="1"/>
          <w:numId w:val="0"/>
        </w:numPr>
        <w:tabs>
          <w:tab w:val="num" w:pos="567"/>
        </w:tabs>
        <w:suppressAutoHyphens w:val="0"/>
        <w:ind w:left="567" w:hanging="567"/>
        <w:rPr>
          <w:i w:val="0"/>
          <w:sz w:val="22"/>
          <w:szCs w:val="22"/>
        </w:rPr>
      </w:pPr>
      <w:r w:rsidRPr="0061550B">
        <w:rPr>
          <w:i w:val="0"/>
          <w:sz w:val="22"/>
          <w:szCs w:val="22"/>
        </w:rPr>
        <w:t>Sankční podmínky</w:t>
      </w:r>
      <w:r w:rsidRPr="0061550B">
        <w:rPr>
          <w:sz w:val="22"/>
          <w:szCs w:val="22"/>
        </w:rPr>
        <w:t xml:space="preserve"> </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Návrh smlouvy musí obsahovat závazek uchazeče uhradit zadavateli smluvní pokutu ve výši 5.000,- Kč za porušení jakékoli smluvní povinnosti uchazeče, na kterou není sjednána zvláštní smluvní pokuta, a to za každý jednotlivý případ. V případě opakovaného (více jak dvojnásobného) porušení smluvní povinnosti dodavatelem je zadavatel oprávněn smlouvu vypovědět s účinností k poslednímu dni v kalendářním měsíci, v němž byla výpověď dodavateli doručena.</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Uchazeč v návrhu smlouvy výslovně prohlásí, že jím poskytované plnění odpovídá všem požadavkům vyplývajícím z právních předpisů či příslušných norem, které se na plnění vztahují. V případě, že se toto prohlášení ukáže jako nepravdivé, má zadavatel vedle práva odstoupit od smlouvy právo na smluvní pokutu ve výši Kč 50.000,- Kč za každý jednotlivý případ, čímž není nijak dotčen nárok zadavatele na náhradu škody.</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Žádný nárok na smluvní pokutu nevylučuje či nijak neomezuje nárok zadavatele na náhradu škody. Nepřipouští se rovněž jakékoliv ujednání smlouvy, které by předem omezovalo výši škody, kterou lze při porušení smlouvy předvídat.</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Uchazeč není oprávněn v návrhu smlouvy stanovit možnost uchazeče požadovat po zadavateli úhradu smluvní pokuty v souvislosti s odstoupením od smlouvy ze strany zadavatele. Uchazeč není oprávněn navrhnout jiné sankce vůči zadavateli než takové, které jsou uvedeny v této zadávací dokumentaci či vyplývají z obecně závazných právních předpisů.</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Uchazeč je oprávněn požadovat po zadavateli zaplacení úroku z prodlení nejvýše ve výši 0,05 % z částky, s jejíž úhradou je zadavatel v prodlení, a to za každý den prodlení.</w:t>
      </w:r>
    </w:p>
    <w:p w:rsidR="00BC0E7E" w:rsidRPr="0061550B" w:rsidRDefault="00BC0E7E" w:rsidP="00BC0E7E">
      <w:pPr>
        <w:spacing w:after="120" w:line="276" w:lineRule="auto"/>
        <w:jc w:val="both"/>
        <w:rPr>
          <w:rFonts w:ascii="Arial" w:hAnsi="Arial" w:cs="Arial"/>
          <w:sz w:val="22"/>
          <w:szCs w:val="22"/>
        </w:rPr>
      </w:pPr>
      <w:r w:rsidRPr="0061550B">
        <w:rPr>
          <w:rFonts w:ascii="Arial" w:hAnsi="Arial" w:cs="Arial"/>
          <w:sz w:val="22"/>
          <w:szCs w:val="22"/>
        </w:rPr>
        <w:t>Možnost odstoupení dodavatele od smlouvy se řídí příslušnými ustanoveními zákona č. 513/1991 Sb., obchodního zákoníku (dále jen „obchodní zákoník“).</w:t>
      </w:r>
    </w:p>
    <w:p w:rsidR="00BC0E7E" w:rsidRDefault="00BC0E7E" w:rsidP="00BC0E7E">
      <w:pPr>
        <w:pStyle w:val="Nadpis2"/>
        <w:numPr>
          <w:ilvl w:val="1"/>
          <w:numId w:val="0"/>
        </w:numPr>
        <w:tabs>
          <w:tab w:val="num" w:pos="567"/>
        </w:tabs>
        <w:suppressAutoHyphens w:val="0"/>
        <w:ind w:left="567" w:hanging="567"/>
        <w:rPr>
          <w:i w:val="0"/>
          <w:sz w:val="22"/>
          <w:szCs w:val="22"/>
        </w:rPr>
      </w:pPr>
    </w:p>
    <w:p w:rsidR="00BC0E7E" w:rsidRPr="00BC0E7E" w:rsidRDefault="00BC0E7E" w:rsidP="00BC0E7E">
      <w:pPr>
        <w:rPr>
          <w:lang w:eastAsia="ar-SA"/>
        </w:rPr>
      </w:pPr>
    </w:p>
    <w:p w:rsidR="00BC0E7E" w:rsidRPr="0061550B" w:rsidRDefault="00BC0E7E" w:rsidP="00BC0E7E">
      <w:pPr>
        <w:pStyle w:val="Nadpis2"/>
        <w:numPr>
          <w:ilvl w:val="1"/>
          <w:numId w:val="0"/>
        </w:numPr>
        <w:tabs>
          <w:tab w:val="num" w:pos="567"/>
        </w:tabs>
        <w:suppressAutoHyphens w:val="0"/>
        <w:ind w:left="567" w:hanging="567"/>
        <w:rPr>
          <w:i w:val="0"/>
          <w:sz w:val="22"/>
          <w:szCs w:val="22"/>
        </w:rPr>
      </w:pPr>
      <w:r w:rsidRPr="0061550B">
        <w:rPr>
          <w:i w:val="0"/>
          <w:sz w:val="22"/>
          <w:szCs w:val="22"/>
        </w:rPr>
        <w:t>Ostatní podmínky</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Uchazeč se v nabídce zaváže k splnění následujících povinností:</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 xml:space="preserve">Dodavatel je povinen řádně uchovávat veškerou dokumentaci související s realizací Projektu, včetně účetních dokladů v souladu s článkem 90 Nařízení Rady (ES) č. 1083/2006 minimálně do konce roku 2021, a pokud je v českých právních předpisech stanovena lhůta delší než v evropských předpisech, musí být pro úschovu použita delší lhůta. Každý originální účetní doklad musí obsahovat informaci, že se jedná o projekt Integrovaného operačního programu a OP LZZ a musí být označen číslem projektu. </w:t>
      </w:r>
    </w:p>
    <w:p w:rsidR="00BC0E7E"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 xml:space="preserve">Dodavatel je povinen do konce roku 2021 za účelem ověřování plnění povinností vyplývajících z podmínek programu IOP a OP LZZ poskytovat požadované informace a dokumentaci zaměstnancům nebo zmocněncům pověřených orgánů (OSF MV ČR, MMR, Ministerstva financí, Evropské komise, Evropského účetního dvora, Nejvyššího kontrolního úřadu, příslušného finančního úřadu a dalších oprávněných orgánů státní správy) a je </w:t>
      </w:r>
    </w:p>
    <w:p w:rsidR="00BC0E7E" w:rsidRDefault="00BC0E7E" w:rsidP="00BC0E7E">
      <w:pPr>
        <w:pStyle w:val="Textodstavce"/>
        <w:tabs>
          <w:tab w:val="clear" w:pos="851"/>
          <w:tab w:val="clear" w:pos="1080"/>
        </w:tabs>
        <w:ind w:left="0"/>
        <w:rPr>
          <w:rFonts w:ascii="Arial" w:hAnsi="Arial" w:cs="Arial"/>
          <w:sz w:val="22"/>
          <w:szCs w:val="22"/>
        </w:rPr>
      </w:pPr>
    </w:p>
    <w:p w:rsidR="00BC0E7E" w:rsidRDefault="00BC0E7E" w:rsidP="00BC0E7E">
      <w:pPr>
        <w:pStyle w:val="Textodstavce"/>
        <w:tabs>
          <w:tab w:val="clear" w:pos="851"/>
          <w:tab w:val="clear" w:pos="1080"/>
        </w:tabs>
        <w:ind w:left="0"/>
        <w:rPr>
          <w:rFonts w:ascii="Arial" w:hAnsi="Arial" w:cs="Arial"/>
          <w:sz w:val="22"/>
          <w:szCs w:val="22"/>
        </w:rPr>
      </w:pP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 xml:space="preserve">povinen vytvořit výše uvedeným osobám podmínky k provedení kontroly, vztahující se k realizaci Projektu a poskytnout jim při provádění kontroly součinnost. </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Dodavatel je povinen provádět informační a propagační opatření na základě Nařízení Komise (ES) č. 1828/2006, kde je mimo jiné stanovena odpovědnost příjemců, pokud jde o informační a propagační opatření pro veřejnost.</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Dodavatel je povinen zajistit, aby povinnosti ve vztahu k Projektu do konce roku 2021 plnili také partneři a dodavatelé podílející se na projektu.</w:t>
      </w:r>
    </w:p>
    <w:p w:rsidR="00BC0E7E" w:rsidRPr="0061550B" w:rsidRDefault="00BC0E7E" w:rsidP="00BC0E7E">
      <w:pPr>
        <w:pStyle w:val="Textodstavce"/>
        <w:tabs>
          <w:tab w:val="clear" w:pos="851"/>
          <w:tab w:val="clear" w:pos="1080"/>
        </w:tabs>
        <w:ind w:left="0"/>
        <w:rPr>
          <w:rFonts w:ascii="Arial" w:hAnsi="Arial" w:cs="Arial"/>
          <w:sz w:val="22"/>
          <w:szCs w:val="22"/>
        </w:rPr>
      </w:pPr>
      <w:r w:rsidRPr="0061550B">
        <w:rPr>
          <w:rFonts w:ascii="Arial" w:hAnsi="Arial" w:cs="Arial"/>
          <w:sz w:val="22"/>
          <w:szCs w:val="22"/>
        </w:rPr>
        <w:t>V souladu s ustanovením § 2 písm. e) zákona č. 320/2001 Sb., o finanční kontrole ve veřejné správě bude zájemce vybraný na základě tohoto výběrového řízení osobou povinnou spolupůsobit při výkonu finanční kontrol.</w:t>
      </w:r>
    </w:p>
    <w:p w:rsidR="00C3136A" w:rsidRDefault="00C3136A" w:rsidP="00BC0E7E"/>
    <w:sectPr w:rsidR="00C3136A" w:rsidSect="00BC0E7E">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D21" w:rsidRDefault="00000D21" w:rsidP="00BC0E7E">
      <w:r>
        <w:separator/>
      </w:r>
    </w:p>
  </w:endnote>
  <w:endnote w:type="continuationSeparator" w:id="1">
    <w:p w:rsidR="00000D21" w:rsidRDefault="00000D21" w:rsidP="00BC0E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E7E" w:rsidRDefault="00BC0E7E">
    <w:pPr>
      <w:pStyle w:val="Zpat"/>
    </w:pPr>
    <w:r w:rsidRPr="00BC0E7E">
      <w:drawing>
        <wp:inline distT="0" distB="0" distL="0" distR="0">
          <wp:extent cx="5305425" cy="581025"/>
          <wp:effectExtent l="1905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lum bright="20000" contrast="20000"/>
                  </a:blip>
                  <a:srcRect/>
                  <a:stretch>
                    <a:fillRect/>
                  </a:stretch>
                </pic:blipFill>
                <pic:spPr bwMode="auto">
                  <a:xfrm>
                    <a:off x="0" y="0"/>
                    <a:ext cx="5305425" cy="58102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D21" w:rsidRDefault="00000D21" w:rsidP="00BC0E7E">
      <w:r>
        <w:separator/>
      </w:r>
    </w:p>
  </w:footnote>
  <w:footnote w:type="continuationSeparator" w:id="1">
    <w:p w:rsidR="00000D21" w:rsidRDefault="00000D21" w:rsidP="00BC0E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E7E" w:rsidRDefault="00BC0E7E">
    <w:pPr>
      <w:pStyle w:val="Zhlav"/>
    </w:pPr>
    <w:r w:rsidRPr="00BC0E7E">
      <w:drawing>
        <wp:inline distT="0" distB="0" distL="0" distR="0">
          <wp:extent cx="3752850" cy="428625"/>
          <wp:effectExtent l="19050" t="0" r="0" b="0"/>
          <wp:docPr id="1" name="Picture 1" descr="logo IOP + EU + text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OP + EU + text - 1"/>
                  <pic:cNvPicPr>
                    <a:picLocks noChangeAspect="1" noChangeArrowheads="1"/>
                  </pic:cNvPicPr>
                </pic:nvPicPr>
                <pic:blipFill>
                  <a:blip r:embed="rId1"/>
                  <a:srcRect/>
                  <a:stretch>
                    <a:fillRect/>
                  </a:stretch>
                </pic:blipFill>
                <pic:spPr bwMode="auto">
                  <a:xfrm>
                    <a:off x="0" y="0"/>
                    <a:ext cx="3752850" cy="428625"/>
                  </a:xfrm>
                  <a:prstGeom prst="rect">
                    <a:avLst/>
                  </a:prstGeom>
                  <a:noFill/>
                  <a:ln w="9525">
                    <a:noFill/>
                    <a:miter lim="800000"/>
                    <a:headEnd/>
                    <a:tailEnd/>
                  </a:ln>
                </pic:spPr>
              </pic:pic>
            </a:graphicData>
          </a:graphic>
        </wp:inline>
      </w:drawing>
    </w:r>
    <w:r w:rsidRPr="00BC0E7E">
      <w:drawing>
        <wp:anchor distT="0" distB="0" distL="114300" distR="114300" simplePos="0" relativeHeight="251659264" behindDoc="0" locked="0" layoutInCell="1" allowOverlap="1">
          <wp:simplePos x="0" y="0"/>
          <wp:positionH relativeFrom="column">
            <wp:posOffset>4119880</wp:posOffset>
          </wp:positionH>
          <wp:positionV relativeFrom="paragraph">
            <wp:posOffset>-116205</wp:posOffset>
          </wp:positionV>
          <wp:extent cx="1647825" cy="609600"/>
          <wp:effectExtent l="19050" t="0" r="9525"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647825" cy="609600"/>
                  </a:xfrm>
                  <a:prstGeom prst="rect">
                    <a:avLst/>
                  </a:prstGeom>
                  <a:noFill/>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C0E7E"/>
    <w:rsid w:val="00000D21"/>
    <w:rsid w:val="007B478E"/>
    <w:rsid w:val="009522F0"/>
    <w:rsid w:val="00BC0E7E"/>
    <w:rsid w:val="00C3136A"/>
    <w:rsid w:val="00FB14C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0E7E"/>
    <w:pPr>
      <w:widowControl w:val="0"/>
      <w:overflowPunct w:val="0"/>
      <w:autoSpaceDE w:val="0"/>
      <w:autoSpaceDN w:val="0"/>
      <w:adjustRightInd w:val="0"/>
      <w:jc w:val="left"/>
      <w:textAlignment w:val="baseline"/>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uiPriority w:val="99"/>
    <w:qFormat/>
    <w:rsid w:val="00BC0E7E"/>
    <w:pPr>
      <w:keepNext/>
      <w:widowControl/>
      <w:suppressAutoHyphens/>
      <w:overflowPunct/>
      <w:autoSpaceDE/>
      <w:autoSpaceDN/>
      <w:adjustRightInd/>
      <w:spacing w:before="240" w:after="60"/>
      <w:textAlignment w:val="auto"/>
      <w:outlineLvl w:val="1"/>
    </w:pPr>
    <w:rPr>
      <w:rFonts w:ascii="Arial" w:hAnsi="Arial" w:cs="Arial"/>
      <w:b/>
      <w:bCs/>
      <w:i/>
      <w:iCs/>
      <w:sz w:val="28"/>
      <w:szCs w:val="28"/>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9"/>
    <w:rsid w:val="00BC0E7E"/>
    <w:rPr>
      <w:rFonts w:ascii="Arial" w:eastAsia="Times New Roman" w:hAnsi="Arial" w:cs="Arial"/>
      <w:b/>
      <w:bCs/>
      <w:i/>
      <w:iCs/>
      <w:sz w:val="28"/>
      <w:szCs w:val="28"/>
      <w:lang w:eastAsia="ar-SA"/>
    </w:rPr>
  </w:style>
  <w:style w:type="paragraph" w:customStyle="1" w:styleId="Textodstavce">
    <w:name w:val="Text odstavce"/>
    <w:basedOn w:val="Normln"/>
    <w:uiPriority w:val="99"/>
    <w:rsid w:val="00BC0E7E"/>
    <w:pPr>
      <w:widowControl/>
      <w:tabs>
        <w:tab w:val="left" w:pos="851"/>
        <w:tab w:val="num" w:pos="1080"/>
      </w:tabs>
      <w:suppressAutoHyphens/>
      <w:overflowPunct/>
      <w:autoSpaceDE/>
      <w:autoSpaceDN/>
      <w:adjustRightInd/>
      <w:spacing w:before="120" w:after="120"/>
      <w:ind w:left="-425"/>
      <w:jc w:val="both"/>
      <w:textAlignment w:val="auto"/>
      <w:outlineLvl w:val="6"/>
    </w:pPr>
    <w:rPr>
      <w:szCs w:val="20"/>
      <w:lang w:eastAsia="ar-SA"/>
    </w:rPr>
  </w:style>
  <w:style w:type="paragraph" w:styleId="Zhlav">
    <w:name w:val="header"/>
    <w:basedOn w:val="Normln"/>
    <w:link w:val="ZhlavChar"/>
    <w:uiPriority w:val="99"/>
    <w:semiHidden/>
    <w:unhideWhenUsed/>
    <w:rsid w:val="00BC0E7E"/>
    <w:pPr>
      <w:tabs>
        <w:tab w:val="center" w:pos="4536"/>
        <w:tab w:val="right" w:pos="9072"/>
      </w:tabs>
    </w:pPr>
  </w:style>
  <w:style w:type="character" w:customStyle="1" w:styleId="ZhlavChar">
    <w:name w:val="Záhlaví Char"/>
    <w:basedOn w:val="Standardnpsmoodstavce"/>
    <w:link w:val="Zhlav"/>
    <w:uiPriority w:val="99"/>
    <w:semiHidden/>
    <w:rsid w:val="00BC0E7E"/>
    <w:rPr>
      <w:rFonts w:ascii="Times New Roman" w:eastAsia="Times New Roman" w:hAnsi="Times New Roman" w:cs="Times New Roman"/>
      <w:sz w:val="24"/>
      <w:szCs w:val="24"/>
      <w:lang w:eastAsia="cs-CZ"/>
    </w:rPr>
  </w:style>
  <w:style w:type="paragraph" w:styleId="Zpat">
    <w:name w:val="footer"/>
    <w:basedOn w:val="Normln"/>
    <w:link w:val="ZpatChar"/>
    <w:uiPriority w:val="99"/>
    <w:semiHidden/>
    <w:unhideWhenUsed/>
    <w:rsid w:val="00BC0E7E"/>
    <w:pPr>
      <w:tabs>
        <w:tab w:val="center" w:pos="4536"/>
        <w:tab w:val="right" w:pos="9072"/>
      </w:tabs>
    </w:pPr>
  </w:style>
  <w:style w:type="character" w:customStyle="1" w:styleId="ZpatChar">
    <w:name w:val="Zápatí Char"/>
    <w:basedOn w:val="Standardnpsmoodstavce"/>
    <w:link w:val="Zpat"/>
    <w:uiPriority w:val="99"/>
    <w:semiHidden/>
    <w:rsid w:val="00BC0E7E"/>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BC0E7E"/>
    <w:rPr>
      <w:rFonts w:ascii="Tahoma" w:hAnsi="Tahoma" w:cs="Tahoma"/>
      <w:sz w:val="16"/>
      <w:szCs w:val="16"/>
    </w:rPr>
  </w:style>
  <w:style w:type="character" w:customStyle="1" w:styleId="TextbublinyChar">
    <w:name w:val="Text bubliny Char"/>
    <w:basedOn w:val="Standardnpsmoodstavce"/>
    <w:link w:val="Textbubliny"/>
    <w:uiPriority w:val="99"/>
    <w:semiHidden/>
    <w:rsid w:val="00BC0E7E"/>
    <w:rPr>
      <w:rFonts w:ascii="Tahoma" w:eastAsia="Times New Roman"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1214</Words>
  <Characters>7164</Characters>
  <Application>Microsoft Office Word</Application>
  <DocSecurity>0</DocSecurity>
  <Lines>59</Lines>
  <Paragraphs>16</Paragraphs>
  <ScaleCrop>false</ScaleCrop>
  <Company>MV ČR</Company>
  <LinksUpToDate>false</LinksUpToDate>
  <CharactersWithSpaces>8362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Standard</dc:creator>
  <cp:keywords/>
  <dc:description/>
  <cp:lastModifiedBy>Standard</cp:lastModifiedBy>
  <cp:revision>1</cp:revision>
  <dcterms:created xsi:type="dcterms:W3CDTF">2010-12-14T11:48:00Z</dcterms:created>
  <dcterms:modified xsi:type="dcterms:W3CDTF">2010-12-14T12:00:00Z</dcterms:modified>
</cp:coreProperties>
</file>