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A70" w:rsidRDefault="00DE4A70" w:rsidP="00EE6BD6">
      <w:pPr>
        <w:pStyle w:val="BodyText2"/>
        <w:outlineLvl w:val="0"/>
        <w:rPr>
          <w:rFonts w:ascii="Arial" w:hAnsi="Arial"/>
          <w:b/>
          <w:bCs/>
          <w:sz w:val="28"/>
          <w:szCs w:val="28"/>
        </w:rPr>
      </w:pPr>
      <w:r w:rsidRPr="00EE6BD6">
        <w:rPr>
          <w:rFonts w:ascii="Arial" w:hAnsi="Arial"/>
          <w:b/>
          <w:bCs/>
          <w:sz w:val="28"/>
          <w:szCs w:val="28"/>
        </w:rPr>
        <w:t>Výzkum veřejného mínění mládeže</w:t>
      </w:r>
    </w:p>
    <w:p w:rsidR="00DE4A70" w:rsidRPr="00EE6BD6" w:rsidRDefault="00DE4A70" w:rsidP="00EE6BD6">
      <w:pPr>
        <w:pStyle w:val="BodyText2"/>
        <w:outlineLvl w:val="0"/>
        <w:rPr>
          <w:rFonts w:ascii="Arial" w:hAnsi="Arial"/>
          <w:b/>
          <w:bCs/>
          <w:sz w:val="28"/>
          <w:szCs w:val="28"/>
        </w:rPr>
      </w:pPr>
    </w:p>
    <w:p w:rsidR="00DE4A70" w:rsidRDefault="00DE4A70" w:rsidP="00EE6BD6">
      <w:pPr>
        <w:pStyle w:val="BodyText2"/>
        <w:ind w:firstLine="708"/>
        <w:rPr>
          <w:rFonts w:ascii="Arial" w:hAnsi="Arial"/>
        </w:rPr>
      </w:pPr>
      <w:r w:rsidRPr="00EE6BD6">
        <w:rPr>
          <w:rFonts w:ascii="Arial" w:hAnsi="Arial"/>
        </w:rPr>
        <w:t>V posledním období se výzkumné snahy Institutu pro kriminologii a sociální prevenci mimo jiné zaměřily i na některé otázky, které vytvářejí společenské klima a které mohou napomáhat rozvoji asociality mladých lidí. Výzkumné šetření se tak soustředilo na názory mladých lidí na příčiny kriminality a sociálně patologických jevů s kriminalitou souvisejících, na otázky právního a mravního vědomí mládeže a jejich postoje k některým otázkám životního stylu.</w:t>
      </w:r>
      <w:r w:rsidRPr="00EE6BD6">
        <w:rPr>
          <w:rStyle w:val="FootnoteReference"/>
          <w:rFonts w:ascii="Arial" w:hAnsi="Arial"/>
        </w:rPr>
        <w:footnoteReference w:id="1"/>
      </w:r>
    </w:p>
    <w:p w:rsidR="00DE4A70" w:rsidRPr="00EE6BD6" w:rsidRDefault="00DE4A70" w:rsidP="00EE6BD6">
      <w:pPr>
        <w:pStyle w:val="BodyText2"/>
        <w:ind w:firstLine="708"/>
        <w:rPr>
          <w:rFonts w:ascii="Arial" w:hAnsi="Arial"/>
        </w:rPr>
      </w:pPr>
    </w:p>
    <w:p w:rsidR="00DE4A70" w:rsidRPr="00EE6BD6" w:rsidRDefault="00DE4A70" w:rsidP="00EE6BD6">
      <w:pPr>
        <w:pStyle w:val="BodyText2"/>
        <w:spacing w:after="120"/>
        <w:ind w:firstLine="708"/>
        <w:rPr>
          <w:rFonts w:ascii="Arial" w:hAnsi="Arial"/>
          <w:bCs/>
        </w:rPr>
      </w:pPr>
      <w:r w:rsidRPr="00EE6BD6">
        <w:rPr>
          <w:rFonts w:ascii="Arial" w:hAnsi="Arial"/>
        </w:rPr>
        <w:t>Šetření bylo směrováno na mladé lidi – dívky i chlapce – ve věku 15 – 24 let.</w:t>
      </w:r>
      <w:r w:rsidRPr="00EE6BD6">
        <w:rPr>
          <w:rStyle w:val="FootnoteReference"/>
          <w:rFonts w:ascii="Arial" w:hAnsi="Arial"/>
        </w:rPr>
        <w:footnoteReference w:id="2"/>
      </w:r>
      <w:r w:rsidRPr="00EE6BD6">
        <w:rPr>
          <w:rFonts w:ascii="Arial" w:hAnsi="Arial"/>
        </w:rPr>
        <w:t xml:space="preserve"> </w:t>
      </w:r>
      <w:r w:rsidRPr="00EE6BD6">
        <w:rPr>
          <w:rFonts w:ascii="Arial" w:hAnsi="Arial"/>
          <w:bCs/>
        </w:rPr>
        <w:t xml:space="preserve">Do výzkumného vzorku bylo zahrnuto </w:t>
      </w:r>
      <w:r w:rsidRPr="00EE6BD6">
        <w:rPr>
          <w:rFonts w:ascii="Arial" w:hAnsi="Arial"/>
        </w:rPr>
        <w:t>1501</w:t>
      </w:r>
      <w:r w:rsidRPr="00EE6BD6">
        <w:rPr>
          <w:rFonts w:ascii="Arial" w:hAnsi="Arial"/>
          <w:bCs/>
        </w:rPr>
        <w:t xml:space="preserve"> respondentů z celého území České republiky. </w:t>
      </w:r>
      <w:r w:rsidRPr="00EE6BD6">
        <w:rPr>
          <w:rFonts w:ascii="Arial" w:hAnsi="Arial"/>
        </w:rPr>
        <w:t xml:space="preserve">V tomto sdělení se zaměříme jednak na názory mladých lidí </w:t>
      </w:r>
      <w:r w:rsidRPr="00EE6BD6">
        <w:rPr>
          <w:rFonts w:ascii="Arial" w:hAnsi="Arial"/>
          <w:bCs/>
        </w:rPr>
        <w:t>na příčiny páchání trestné činnosti</w:t>
      </w:r>
      <w:r w:rsidRPr="00EE6BD6">
        <w:rPr>
          <w:rFonts w:ascii="Arial" w:hAnsi="Arial"/>
        </w:rPr>
        <w:t xml:space="preserve"> jejich vrstevníky, jednak na vztah mladých lidí </w:t>
      </w:r>
      <w:r w:rsidRPr="00EE6BD6">
        <w:rPr>
          <w:rFonts w:ascii="Arial" w:hAnsi="Arial"/>
          <w:bCs/>
        </w:rPr>
        <w:t xml:space="preserve">k některým životním zásadám. </w:t>
      </w:r>
    </w:p>
    <w:p w:rsidR="00DE4A70" w:rsidRPr="00EE6BD6" w:rsidRDefault="00DE4A70" w:rsidP="00EE6BD6">
      <w:pPr>
        <w:pStyle w:val="BodyText2"/>
        <w:spacing w:after="120"/>
        <w:ind w:firstLine="709"/>
        <w:rPr>
          <w:rFonts w:ascii="Arial" w:hAnsi="Arial"/>
        </w:rPr>
      </w:pPr>
      <w:r w:rsidRPr="00EE6BD6">
        <w:rPr>
          <w:rFonts w:ascii="Arial" w:hAnsi="Arial"/>
        </w:rPr>
        <w:t xml:space="preserve">V záznamovém archu, který byl předložen respondentům, jsme nabídli celkem 26 možností různých příčin páchání trestné činnosti. Každou z nich pak respondenti posuzovali na pětistupňové škále s krajními body „vysoce výrazný vliv“ a „zanedbatelný vliv“. </w:t>
      </w:r>
    </w:p>
    <w:p w:rsidR="00DE4A70" w:rsidRPr="00EE6BD6" w:rsidRDefault="00DE4A70" w:rsidP="00EE6BD6">
      <w:pPr>
        <w:pStyle w:val="BodyText2"/>
        <w:spacing w:after="120"/>
        <w:ind w:firstLine="709"/>
        <w:rPr>
          <w:rFonts w:ascii="Arial" w:hAnsi="Arial"/>
        </w:rPr>
      </w:pPr>
      <w:r w:rsidRPr="00EE6BD6">
        <w:rPr>
          <w:rFonts w:ascii="Arial" w:hAnsi="Arial"/>
        </w:rPr>
        <w:t xml:space="preserve">Výsledky ukázaly, že na dvou předních místech v seznamu možných příčin delikvence mládeže se objevily příčiny spojené s pozměňováním lidské psychiky pomocí nealkoholových a alkoholových drog. Respondenti jsou ve své převažující většině jednoznačně přesvědčeni, že zejména nealkoholové drogy (53,1 % respondentů považuje jejich vliv za výrazně vysoký) stojí v pozadí nejrůznějších excesů, že jejich použití odbrzďuje zábrany a zabraňuje pachateli náležitě uvážit důsledky svých činů. Podobné přesvědčení se projevuje i u názoru na vliv alkoholu, oproti nealkoholovým drogám však síla jednoznačného přesvědčení o kriminogenním vlivu alkoholu je nižší (krajní bod „vysoce výrazný vliv“ volila něco víc než třetina dotázaných – 35,6 % a další třetina respondentů (33,8 %) se na škále přiklonila k možnosti „výrazný vliv“. Z hlediska pohlaví kladou ženy poněkud větší důraz na kriminogenní vliv drog a alkoholu, což se projevuje zejména tím, že jejich vliv na delikvenci častěji ohodnocují krajním bodem škály (vysoce významný vliv drog konstatuje 56,7 % žen, ale pouze 49,6 % mužů, podobně u alkoholu 38,8 % žen a 32,5 % mužů). Respondenti se však nijak statisticky významně neliší v názoru na vliv alkoholu a nealkoholových drog podle věkových kategorií respondentů, ani podle své vzdělanostní úrovně. </w:t>
      </w:r>
    </w:p>
    <w:p w:rsidR="00DE4A70" w:rsidRPr="00EE6BD6" w:rsidRDefault="00DE4A70" w:rsidP="00EE6BD6">
      <w:pPr>
        <w:pStyle w:val="BodyText2"/>
        <w:spacing w:after="120"/>
        <w:ind w:firstLine="709"/>
        <w:rPr>
          <w:rFonts w:ascii="Arial" w:hAnsi="Arial"/>
        </w:rPr>
      </w:pPr>
      <w:r w:rsidRPr="00EE6BD6">
        <w:rPr>
          <w:rFonts w:ascii="Arial" w:hAnsi="Arial"/>
        </w:rPr>
        <w:t xml:space="preserve">Obecně se dá říci, že naprostá většina současných mladých lidí ví, že abúzus drog a alkoholu může vést a skutečně často vede k delikventní dráze. Zdá se, že cílená dlouhodobá protidrogová a protialkoholová osvěta v oblasti racionálního přesvědčení přinesla své plody, což se ovšem nedá říci – jak z empirie víme - o podobných výsledcích v oblasti konativní. </w:t>
      </w:r>
    </w:p>
    <w:p w:rsidR="00DE4A70" w:rsidRPr="00EE6BD6" w:rsidRDefault="00DE4A70" w:rsidP="00EE6BD6">
      <w:pPr>
        <w:pStyle w:val="BodyText2"/>
        <w:spacing w:after="120"/>
        <w:ind w:firstLine="709"/>
        <w:rPr>
          <w:rFonts w:ascii="Arial" w:hAnsi="Arial"/>
        </w:rPr>
      </w:pPr>
      <w:r w:rsidRPr="00EE6BD6">
        <w:rPr>
          <w:rFonts w:ascii="Arial" w:hAnsi="Arial"/>
        </w:rPr>
        <w:t xml:space="preserve"> </w:t>
      </w:r>
    </w:p>
    <w:p w:rsidR="00DE4A70" w:rsidRPr="00EE6BD6" w:rsidRDefault="00DE4A70" w:rsidP="00EE6BD6">
      <w:pPr>
        <w:pStyle w:val="BodyText2"/>
        <w:spacing w:after="120"/>
        <w:ind w:firstLine="709"/>
        <w:rPr>
          <w:rFonts w:ascii="Arial" w:hAnsi="Arial"/>
        </w:rPr>
      </w:pPr>
      <w:r w:rsidRPr="00EE6BD6">
        <w:rPr>
          <w:rFonts w:ascii="Arial" w:hAnsi="Arial"/>
        </w:rPr>
        <w:t xml:space="preserve">Na rozšířenost drog a jejich dostupnosti pro mladé lidi můžeme opatrně usuzovat z odpovědí na položenou otázku, jak dlouho by </w:t>
      </w:r>
      <w:r w:rsidRPr="00EE6BD6">
        <w:rPr>
          <w:rFonts w:ascii="Arial" w:hAnsi="Arial"/>
          <w:bCs/>
        </w:rPr>
        <w:t>našim dotazovaným mladým lidem trvalo, než by – při dostatku peněz – získali určitý typ drogy. Výsledky varovně ukázaly, že do jedné hodiny (tedy v zásadě okamžitě) by bylo schopno sehnat marihuanu 26 % dotázaných, extázi 5%, pervitin a LSD 4%, heroin a kokain zhruba 2 % respondentů. Naopak</w:t>
      </w:r>
      <w:r w:rsidRPr="00EE6BD6">
        <w:rPr>
          <w:rFonts w:ascii="Arial" w:hAnsi="Arial"/>
        </w:rPr>
        <w:t xml:space="preserve"> – dle vyjádření dotázaných – by marihuanu vůbec (tedy i za delší dobu) nedokázala sehnat přibližně pětina dotázaných mladých lidí (22 %), tzv. taneční drogu extázi 37 % a ostatní v dotazu poptávané tvrdé drogy by nedokázala sehnat zhruba polovina dotázaných, přesněji heroin a kokain shodně 47% a LSD 42 %. Je zde ovšem třeba též upozornit, že poměrně značná část respondentů se v této otázce zdržela odpovědi. </w:t>
      </w:r>
    </w:p>
    <w:p w:rsidR="00DE4A70" w:rsidRPr="00EE6BD6" w:rsidRDefault="00DE4A70" w:rsidP="00EE6BD6">
      <w:pPr>
        <w:pStyle w:val="BodyText2"/>
        <w:spacing w:after="120"/>
        <w:ind w:firstLine="709"/>
        <w:rPr>
          <w:rFonts w:ascii="Arial" w:hAnsi="Arial"/>
        </w:rPr>
      </w:pPr>
      <w:r w:rsidRPr="00EE6BD6">
        <w:rPr>
          <w:rFonts w:ascii="Arial" w:hAnsi="Arial"/>
        </w:rPr>
        <w:t>Vznik kriminality souvisí podle názoru dotázaných s charakterem sociálního zázemí. Dotázaní mladí lidé konstatují, že jedním ze zdrojů vzniku delikventního chování je třeba vidět v působení špatných kamarádů a vrstevníků. Tomuto vlivu přisuzují signifikantně častěji větší vliv ženy než muži, dále lidé, kteří se přihlásili k nějaké církvi, lidé, kteří věří, že zásadní příčiny delikvence je možno spatřovat v nedostatcích mladých lidí v rozeznávání dobra a zla, dále ti dotázaní a dále ti, kteří v průběhu své základní školní docházky navštěvovali dlouhodoběji nějakou organizovanou aktivitu volného času. Respondenti si uvědomují, že v určitém období je pro mladé lidi vysoce důležitý okruh jejich přátel a že právě charakter těchto blízkých vztahů může výrazně ovlivnit způsob chování.</w:t>
      </w:r>
    </w:p>
    <w:p w:rsidR="00DE4A70" w:rsidRPr="00EE6BD6" w:rsidRDefault="00DE4A70" w:rsidP="00EE6BD6">
      <w:pPr>
        <w:pStyle w:val="BodyText2"/>
        <w:spacing w:after="120"/>
        <w:ind w:firstLine="709"/>
        <w:rPr>
          <w:rFonts w:ascii="Arial" w:hAnsi="Arial"/>
          <w:szCs w:val="16"/>
        </w:rPr>
      </w:pPr>
      <w:r w:rsidRPr="00EE6BD6">
        <w:rPr>
          <w:rFonts w:ascii="Arial" w:hAnsi="Arial"/>
        </w:rPr>
        <w:t>Tlak skupiny hraje v etiologii chování mladých lidí značnou roli, a to často takovou, že tomuto tlaku není samotný jedinec schopen čelit.</w:t>
      </w:r>
      <w:r w:rsidRPr="00EE6BD6">
        <w:rPr>
          <w:rFonts w:ascii="Arial" w:hAnsi="Arial"/>
          <w:szCs w:val="16"/>
        </w:rPr>
        <w:t xml:space="preserve"> U velkého množství mladých lidí se v určitých formativních obdobích objevuje touha vyniknout mezi vrstevníky či se jim alespoň zavděčit, tedy být přijat vrstevnickou skupinou. Respondenti si jsou tohoto nebezpečného zdroje možných inspirovaných asociálních projevů vědomi, rozhodně jejich vliv nepodceňují. </w:t>
      </w:r>
    </w:p>
    <w:p w:rsidR="00DE4A70" w:rsidRPr="00EE6BD6" w:rsidRDefault="00DE4A70" w:rsidP="00EE6BD6">
      <w:pPr>
        <w:pStyle w:val="BodyText2"/>
        <w:spacing w:after="120"/>
        <w:ind w:firstLine="709"/>
        <w:rPr>
          <w:rFonts w:ascii="Arial" w:hAnsi="Arial"/>
          <w:szCs w:val="16"/>
        </w:rPr>
      </w:pPr>
      <w:r w:rsidRPr="00EE6BD6">
        <w:rPr>
          <w:rFonts w:ascii="Arial" w:hAnsi="Arial"/>
          <w:szCs w:val="16"/>
        </w:rPr>
        <w:t>Respondenti svými odpověďmi poukázali na to, že je počínání delikventů z řad mládeže determinováno charakterem nejbližšího rodinného zázemí. Vlivy jako „nevhodná výchova rodiči v rodině“, „rozvrácené rodinné zázemí“ a „špatný příklad dospělých“ stojí mezi předpokládanými příčinami delikvence mládeže na předních místech a jsou považovány za zjevný a důležitý zdroj možných asociálních projevů.</w:t>
      </w:r>
    </w:p>
    <w:p w:rsidR="00DE4A70" w:rsidRPr="00EE6BD6" w:rsidRDefault="00DE4A70" w:rsidP="00EE6BD6">
      <w:pPr>
        <w:pStyle w:val="BodyText2"/>
        <w:spacing w:after="120"/>
        <w:ind w:firstLine="709"/>
        <w:rPr>
          <w:rFonts w:ascii="Arial" w:hAnsi="Arial"/>
          <w:szCs w:val="16"/>
        </w:rPr>
      </w:pPr>
      <w:r w:rsidRPr="00EE6BD6">
        <w:rPr>
          <w:rFonts w:ascii="Arial" w:hAnsi="Arial"/>
          <w:szCs w:val="16"/>
        </w:rPr>
        <w:t xml:space="preserve">Na jednom z předních míst v seznamu možných vlivů, které respondenti označili za důležitou příčinu delikvence mládeže, se objevil faktor nudy. Ten je mladými lidmi vnímán jako ohromná zátěž, jako závaží, které musí být za každou cenu odstraněno. </w:t>
      </w:r>
    </w:p>
    <w:p w:rsidR="00DE4A70" w:rsidRPr="00EE6BD6" w:rsidRDefault="00DE4A70" w:rsidP="00EE6BD6">
      <w:pPr>
        <w:pStyle w:val="BodyText2"/>
        <w:spacing w:after="120"/>
        <w:ind w:firstLine="709"/>
        <w:rPr>
          <w:rFonts w:ascii="Arial" w:hAnsi="Arial"/>
          <w:szCs w:val="16"/>
        </w:rPr>
      </w:pPr>
      <w:r w:rsidRPr="00EE6BD6">
        <w:rPr>
          <w:rFonts w:ascii="Arial" w:hAnsi="Arial"/>
          <w:szCs w:val="16"/>
        </w:rPr>
        <w:t xml:space="preserve">Nuda nejednou vyvolává potřebu, aby se „něco“ dělo, a to něco by mělo být překvapivé, vzrušující, nezvyklé, zábavné. Respondenti si také uvědomují, že asociální řešení v procesu odstraňování nudy může být podpořeno výskytem kriminálních situací, které umožňují či usnadňují spáchání nějakého zločinu. V lákavosti situací, které obklopují možného pachatele delikvence, spatřuje příčinu skutečných projevů asociálního jednání 58,3 % dotázaných, z tohoto počtu pak každý pátý považuje tento fakt za vysoce důležitou příčinu kriminality mládeže. </w:t>
      </w:r>
    </w:p>
    <w:p w:rsidR="00DE4A70" w:rsidRPr="00EE6BD6" w:rsidRDefault="00DE4A70" w:rsidP="00EE6BD6">
      <w:pPr>
        <w:pStyle w:val="BodyText2"/>
        <w:spacing w:after="120"/>
        <w:ind w:firstLine="709"/>
        <w:rPr>
          <w:rFonts w:ascii="Arial" w:hAnsi="Arial"/>
          <w:szCs w:val="16"/>
        </w:rPr>
      </w:pPr>
      <w:r w:rsidRPr="00EE6BD6">
        <w:rPr>
          <w:rFonts w:ascii="Arial" w:hAnsi="Arial"/>
          <w:szCs w:val="16"/>
        </w:rPr>
        <w:t xml:space="preserve">Asociální řešení nudy či lákavost antisociálního zaměření života může být – dle názoru respondentů – ovlivněno i určitým pocitem beztrestnosti, a to zejména u dětí. Tato otázka, která se stává centrem diskusí laické i odborné veřejnosti ( zejména ve chvílích, kdy se osoba mladší 15 let dopustí závažného kriminálního činu), našla svůj ohlas i u názorů dotázaných tohoto výzkumu. Více jak pětina mladých respondentů soudí (22,2 %), že pocit beztrestnosti může sehrát svou zásadní negativní roli při rozvoji kriminálního chování (přisuzují tomuto vlivu krajní pozici na škále) a dalších 37,2 % uvádí tuto možnost na druhém místě škály, což znamená, že tomuto vlivu přisuzují dosti pravděpodobný vliv. </w:t>
      </w:r>
    </w:p>
    <w:p w:rsidR="00DE4A70" w:rsidRPr="00EE6BD6" w:rsidRDefault="00DE4A70" w:rsidP="00EE6BD6">
      <w:pPr>
        <w:pStyle w:val="BodyText2"/>
        <w:spacing w:after="120"/>
        <w:ind w:firstLine="709"/>
        <w:rPr>
          <w:rFonts w:ascii="Arial" w:hAnsi="Arial"/>
          <w:szCs w:val="16"/>
        </w:rPr>
      </w:pPr>
      <w:r w:rsidRPr="00EE6BD6">
        <w:rPr>
          <w:rFonts w:ascii="Arial" w:hAnsi="Arial"/>
          <w:szCs w:val="16"/>
        </w:rPr>
        <w:t>Respondenti více méně zpochybňují, že za současným stavem kriminality dětí a mladistvých stojí negativní vliv koexistence mladých lidí na sociálních sítích, destruktivní vliv počítačových her, tlak různých neetických návodů ve sdělovacích prostředcích či nedostatečná kontrola mládeže při prožívání volného času. Celkově lze z empirického materiálu usoudit, že výše zmíněné vlivy jsou považovány za takové, které sice mají schopnost za určitých okolností delikvenci napomoci, tento vliv však není dominantní. Zmíněný postoj, zejména při hodnocení vlivu počítačových sociálních sítí či tlaku reklamy a návodů ve sdělovacích prostředcích, se projevuje tím, že respondenti častěji volí pátý a čtvrtý bod pětistupňové škály, tj. tyto vlivy považují za zanedbatelné či malé.</w:t>
      </w:r>
    </w:p>
    <w:p w:rsidR="00DE4A70" w:rsidRPr="00EE6BD6" w:rsidRDefault="00DE4A70" w:rsidP="00EE6BD6">
      <w:pPr>
        <w:pStyle w:val="BodyText2"/>
        <w:spacing w:after="120"/>
        <w:ind w:firstLine="709"/>
        <w:rPr>
          <w:rFonts w:ascii="Arial" w:hAnsi="Arial"/>
          <w:szCs w:val="16"/>
        </w:rPr>
      </w:pPr>
      <w:r w:rsidRPr="00EE6BD6">
        <w:rPr>
          <w:rFonts w:ascii="Arial" w:hAnsi="Arial"/>
          <w:szCs w:val="16"/>
        </w:rPr>
        <w:t xml:space="preserve">Za povšimnutí dále stojí, že za kriminálním jednáním mladé generace nestojí - dle dotázaných mladých lidí z ČR - nějaké zásadní nejasnosti v rozeznávání dobrého a zlého či případně nedostatek nábožnosti či víry v Boha. Respondenti jsou víceméně přesvědčeni, že delikvence nevyplývá z neznalosti toho, co je správné, zákonné, sociálně akceptovatelné, tedy že náš společenský socializační a edukační systém nemá v této oblasti výrazné mezery. S tímto poznatkem souzní i další zjištění, že dotázaní neobviňují zástupně z rozvoje delikventního jednání mladých lidí školský systém, ani dospělé pro nedostatečnou kontrolu volného času mládeže, ani současný politický systém. A tak vedle již výše zmíněného zdůrazňování vlivu drog, party a nevhodné výchovy v rodině a vůbec špatného příkladu dospělých při genezi kriminálního chování hraje ještě v tomto směru, dle souhlasného převažujícího názoru, zásadní roli „nízká inteligence pachatelů“, případně „vrozené špatné povahové vlastnosti“. Vliv nízké inteligence pachatelů považuje za vysoký čtvrtina dotázaných a druhý bod škály mu přisuzuje téměř třetina všech (32,6 %), u vrozených špatných povahových vlastností pak považuje tento vliv za zásadní 18,7 % a za důležitý 30,1 %.  </w:t>
      </w:r>
    </w:p>
    <w:p w:rsidR="00DE4A70" w:rsidRPr="00EE6BD6" w:rsidRDefault="00DE4A70" w:rsidP="00EE6BD6">
      <w:pPr>
        <w:pStyle w:val="BodyText2"/>
        <w:spacing w:after="120"/>
        <w:ind w:firstLine="709"/>
        <w:rPr>
          <w:rFonts w:ascii="Arial" w:hAnsi="Arial"/>
          <w:szCs w:val="16"/>
        </w:rPr>
      </w:pPr>
      <w:r w:rsidRPr="00EE6BD6">
        <w:rPr>
          <w:rFonts w:ascii="Arial" w:hAnsi="Arial"/>
          <w:szCs w:val="16"/>
        </w:rPr>
        <w:t>Lze tedy uzavřít, že mladá generace žije v představě, že delikvence mládeže je především záležitostí intoxikace pachatelů, případně nevhodné výchovy v rodinách či nevhodného chování dospělých osob, které dávají špatný příklad (což ve svém důsledku vede k nápodobě) a že si též uvědomují závažný vliv nedostatečně strukturovaného volného času na rozvoj náhražkového asociálního či kriminálního chování.</w:t>
      </w:r>
    </w:p>
    <w:p w:rsidR="00DE4A70" w:rsidRPr="00EE6BD6" w:rsidRDefault="00DE4A70" w:rsidP="00EE6BD6">
      <w:pPr>
        <w:pStyle w:val="BodyText2"/>
        <w:spacing w:after="120"/>
        <w:ind w:firstLine="708"/>
        <w:outlineLvl w:val="0"/>
        <w:rPr>
          <w:rFonts w:ascii="Arial" w:hAnsi="Arial"/>
        </w:rPr>
      </w:pPr>
      <w:r w:rsidRPr="00EE6BD6">
        <w:rPr>
          <w:rFonts w:ascii="Arial" w:hAnsi="Arial"/>
        </w:rPr>
        <w:t>Obraťme nyní pozornost k otázce, jak akceptují mladí lidé některé životní postoje. Respondentům jsme nabídli 24 výroků, které nebyly nijak tematicky řazeny, a požádali je, aby nám tentokrát na šestibodové škále s krajními body „určitě souhlasím“ a „určitě nesouhlasím“ označili svůj názor na pravdivost exponovaných výroků. V tomto příspěvku se zmíníme o některých z nich.</w:t>
      </w:r>
    </w:p>
    <w:p w:rsidR="00DE4A70" w:rsidRPr="00EE6BD6" w:rsidRDefault="00DE4A70" w:rsidP="00EE6BD6">
      <w:pPr>
        <w:pStyle w:val="BodyText2"/>
        <w:spacing w:after="120"/>
        <w:ind w:firstLine="708"/>
        <w:rPr>
          <w:rFonts w:ascii="Arial" w:hAnsi="Arial"/>
        </w:rPr>
      </w:pPr>
      <w:r w:rsidRPr="00EE6BD6">
        <w:rPr>
          <w:rFonts w:ascii="Arial" w:hAnsi="Arial"/>
        </w:rPr>
        <w:t xml:space="preserve">Ačkoliv již uplynula řada let od zrušení trestu smrti z našeho trestního práva, stále je mezi naším obyvatelstvem tato otázka živá. Jinak tomu není ani u mladé generace, která již vyrůstala v nových podmínkách a která snad ani nepamatuje dobu, kdy byl tento trest udělován. Na položenou otázku do jaké míry respondenti souhlasí či nesouhlasí s tezí, že „za nejtěžší zločiny by měl být udělován trest smrti“ odpovídali naši mladí dotazovaní převážně souhlasně. Více či méně souhlasně (body škály 1. – 3.) se pro udělování trestu smrti vyslovily více jak tři pětiny dotázaných (60,7 %) a to tak, že krajní jednoznačný postoj k této otázce manifestovalo celých 25,9 % respondentů. </w:t>
      </w:r>
    </w:p>
    <w:p w:rsidR="00DE4A70" w:rsidRPr="00EE6BD6" w:rsidRDefault="00DE4A70" w:rsidP="00EE6BD6">
      <w:pPr>
        <w:pStyle w:val="BodyText2"/>
        <w:spacing w:after="120"/>
        <w:ind w:firstLine="708"/>
        <w:rPr>
          <w:rFonts w:ascii="Arial" w:hAnsi="Arial"/>
        </w:rPr>
      </w:pPr>
      <w:r w:rsidRPr="00EE6BD6">
        <w:rPr>
          <w:rFonts w:ascii="Arial" w:hAnsi="Arial"/>
        </w:rPr>
        <w:t xml:space="preserve">Ženy zastávají v otázce udělování trestu smrti méně radikální postoje než muži. Muži volí v 29 % případů zcela krajní trest smrti podporující bod škály, ženy tak činí „pouze“ v 23 % svých voleb, čímž se od sebe obě pohlaví statisticky významně odlišují. Respondenti se však v této otázce neodlišují podle věkových skupin, žádnou roli nehraje ani majetková situace rodin respondentů. Lze si povšimnout náznaku, že vyšší úroveň vzdělání (zejména středoškolské s maturitou) se podepisuje na signifikantně menší potřebě trestat absolutním trestem. </w:t>
      </w:r>
    </w:p>
    <w:p w:rsidR="00DE4A70" w:rsidRPr="00EE6BD6" w:rsidRDefault="00DE4A70" w:rsidP="00EE6BD6">
      <w:pPr>
        <w:pStyle w:val="BodyText2"/>
        <w:spacing w:after="120"/>
        <w:ind w:firstLine="708"/>
        <w:rPr>
          <w:rFonts w:ascii="Arial" w:hAnsi="Arial"/>
        </w:rPr>
      </w:pPr>
      <w:r w:rsidRPr="00EE6BD6">
        <w:rPr>
          <w:rFonts w:ascii="Arial" w:hAnsi="Arial"/>
        </w:rPr>
        <w:t xml:space="preserve">Názor na používání trestu smrti pozitivně koreluje i s názorem na schopnost policie při omezování kriminality a to tak, že čím více se činnost policie považuje za odpovídající, tím méně respondenti považují za nutné zavést výkon absolutního trestu za nejtěžší zločiny. Na okraj je možno se zmínit, že proti používání trestu smrti se signifikantně častěji staví i respondenti, kteří se hlásí k nějakému náboženskému vyznání. </w:t>
      </w:r>
    </w:p>
    <w:p w:rsidR="00DE4A70" w:rsidRPr="00EE6BD6" w:rsidRDefault="00DE4A70" w:rsidP="00EE6BD6">
      <w:pPr>
        <w:pStyle w:val="BodyText2"/>
        <w:spacing w:after="120"/>
        <w:ind w:firstLine="708"/>
        <w:rPr>
          <w:rFonts w:ascii="Arial" w:hAnsi="Arial"/>
        </w:rPr>
      </w:pPr>
      <w:r w:rsidRPr="00EE6BD6">
        <w:rPr>
          <w:rFonts w:ascii="Arial" w:hAnsi="Arial"/>
        </w:rPr>
        <w:t>Jistě nepřekvapí (a výsledky výzkumu to dokládají), že zastánci trestu smrti jsou obecně více nakloněni metodám regulace kriminality na základě důsledného trestání a preventivním prostředkům moc nevěří. Tito dotázaní mladí lidé se častěji domnívají, že kriminalita není způsobena nějakými nedostatky či nejasnostmi v poznávání dobra a zla pachateli, tedy mají za to, že delikventi jsou za své jednání plně zodpovědní. Respondenti, kteří se naopak staví proti používání trestu smrti, se též častěji ohrazují proti zásadě „oko za oko, zub za zub“ a naopak zastánci této odplatné teze trest smrti preferují.</w:t>
      </w:r>
    </w:p>
    <w:p w:rsidR="00DE4A70" w:rsidRPr="00EE6BD6" w:rsidRDefault="00DE4A70" w:rsidP="00EE6BD6">
      <w:pPr>
        <w:spacing w:after="120" w:line="240" w:lineRule="auto"/>
        <w:ind w:firstLine="708"/>
        <w:jc w:val="both"/>
        <w:rPr>
          <w:rFonts w:ascii="Arial" w:hAnsi="Arial"/>
          <w:sz w:val="24"/>
          <w:szCs w:val="24"/>
        </w:rPr>
      </w:pPr>
      <w:r w:rsidRPr="00EE6BD6">
        <w:rPr>
          <w:rFonts w:ascii="Arial" w:hAnsi="Arial"/>
          <w:sz w:val="24"/>
          <w:szCs w:val="24"/>
        </w:rPr>
        <w:t>Podívejme se ještě blíže na zásadu „Oko za oko, zub za zub“. Tuto tezi považuje za více méně správnou 39 % respondentů. Nesouhlasný postoj k odplatné zásadě projevili statisticky významně častěji respondenti, kteří zároveň na jiném místě záznamového archu manifestovali svůj vztah k nějaké náboženské víře nebo žili v rodině s bezproblémovými rodiči. Naopak ti, kteří v dětství nenavštěvovali žádné organizované aktivity volného času s odplatnou zásadou významně častěji souhlasí.</w:t>
      </w:r>
      <w:r w:rsidRPr="00EE6BD6">
        <w:rPr>
          <w:rFonts w:ascii="Arial" w:hAnsi="Arial"/>
          <w:sz w:val="24"/>
          <w:szCs w:val="32"/>
        </w:rPr>
        <w:t xml:space="preserve"> </w:t>
      </w:r>
      <w:r w:rsidRPr="00EE6BD6">
        <w:rPr>
          <w:rFonts w:ascii="Arial" w:hAnsi="Arial"/>
          <w:sz w:val="24"/>
          <w:szCs w:val="24"/>
        </w:rPr>
        <w:t>Zásada je častěji akceptována muži, mladými lidmi s výučním listem a občany žijícími v městech do 100 000 obyvatel.</w:t>
      </w:r>
    </w:p>
    <w:p w:rsidR="00DE4A70" w:rsidRPr="00EE6BD6" w:rsidRDefault="00DE4A70" w:rsidP="00EE6BD6">
      <w:pPr>
        <w:spacing w:after="120" w:line="240" w:lineRule="auto"/>
        <w:ind w:firstLine="708"/>
        <w:jc w:val="both"/>
        <w:rPr>
          <w:rFonts w:ascii="Arial" w:hAnsi="Arial"/>
          <w:sz w:val="24"/>
          <w:szCs w:val="24"/>
        </w:rPr>
      </w:pPr>
      <w:r w:rsidRPr="00EE6BD6">
        <w:rPr>
          <w:rFonts w:ascii="Arial" w:hAnsi="Arial"/>
          <w:sz w:val="24"/>
          <w:szCs w:val="24"/>
        </w:rPr>
        <w:t xml:space="preserve"> Můžeme tak konstatovat, že odplatný princip je v naší kultuře mezi mládeží dosti zakotven, že zejména muži jej považují za správný. Tento postoj se váže k souhlasu s jinou zásadou, a to k zásadě „kdo nekrade, okrádá rodinu“ a k představě o neschopnosti policie při omezování zločinu. Souhlas s odplatným systémem je též spojen též s výchovou respondenta  v rodině s problémovým rodičem. Podstatné statisticky významné souvislosti nacházíme v korelaci mezi tezí „oko za oko, zub za zub“ a tezí „chování občanů je málo kontrolováno, každý si dělá, co chce“. </w:t>
      </w:r>
    </w:p>
    <w:p w:rsidR="00DE4A70" w:rsidRPr="00EE6BD6" w:rsidRDefault="00DE4A70" w:rsidP="00EE6BD6">
      <w:pPr>
        <w:spacing w:after="120" w:line="240" w:lineRule="auto"/>
        <w:ind w:firstLine="708"/>
        <w:jc w:val="both"/>
        <w:rPr>
          <w:rFonts w:ascii="Arial" w:hAnsi="Arial"/>
          <w:sz w:val="24"/>
          <w:szCs w:val="24"/>
        </w:rPr>
      </w:pPr>
      <w:r w:rsidRPr="00EE6BD6">
        <w:rPr>
          <w:rFonts w:ascii="Arial" w:hAnsi="Arial"/>
          <w:sz w:val="24"/>
          <w:szCs w:val="24"/>
        </w:rPr>
        <w:t>Jisté rozvolnění rigoróznosti sociálních vazeb v současnosti lze dokumentovat na stále menší popularitě uzavírání sňatků. To, co bylo ještě např. v šedesátých či sedmdesátých letech minulého století spíše výjimkou, se v současnosti stává akceptovanou normou u velké části populace. V našem výzkumu jsme se pokusili upřesnit názor mladých lidí na hodnotu formálně uzavřeného manželství tím, že jsme jim předložili k posouzení tezi „Uzavírání manželství je zbytečné, svatba je přežitek“.</w:t>
      </w:r>
    </w:p>
    <w:p w:rsidR="00DE4A70" w:rsidRPr="00EE6BD6" w:rsidRDefault="00DE4A70" w:rsidP="00EE6BD6">
      <w:pPr>
        <w:spacing w:after="120" w:line="240" w:lineRule="auto"/>
        <w:ind w:firstLine="708"/>
        <w:jc w:val="both"/>
        <w:rPr>
          <w:rFonts w:ascii="Arial" w:hAnsi="Arial"/>
          <w:sz w:val="24"/>
          <w:szCs w:val="24"/>
        </w:rPr>
      </w:pPr>
      <w:r w:rsidRPr="00EE6BD6">
        <w:rPr>
          <w:rFonts w:ascii="Arial" w:hAnsi="Arial"/>
          <w:sz w:val="24"/>
          <w:szCs w:val="24"/>
        </w:rPr>
        <w:t>Statistické vyhodnocení ukázalo, že přece jenom ještě mírně nadpoloviční část mladých lidí se opatrně přiklání k názoru, že institut svatby není ještě mrtvý. O uzavírání svatby jako o přežitku je však výrazněji přesvědčena více jak čtvrtina dotázaných a naopak zásadní podporu uzavírání manželství projevilo 29 % dotázaných. V názoru na význam svatby nacházíme signifikantní rozdíly mezi muži a ženami. Ženy akceptují podstatně více institut svatby, více jak třetina z nich nespatřuje ve svatbě zbytečnost nebo přežitek, čímž se podstatně odlišují od mužů, kteří mají k institutu svatby kladný vztah pouze přibližně v pětině případů. Také vzdělání respondentů do této otázky intervenuje, větší význam legalizaci vztahu přikládají respondenti se středoškolským vzděláním s maturitou, naopak signifikantně větší souhlas s názorem, že svatba je přežitek vyslovují dotázaní mladí lidé se základním vzděláním.</w:t>
      </w:r>
    </w:p>
    <w:p w:rsidR="00DE4A70" w:rsidRPr="00EE6BD6" w:rsidRDefault="00DE4A70" w:rsidP="00EE6BD6">
      <w:pPr>
        <w:spacing w:after="120" w:line="240" w:lineRule="auto"/>
        <w:jc w:val="both"/>
        <w:rPr>
          <w:rFonts w:ascii="Arial" w:hAnsi="Arial"/>
          <w:sz w:val="24"/>
          <w:szCs w:val="24"/>
        </w:rPr>
      </w:pPr>
      <w:r w:rsidRPr="00EE6BD6">
        <w:rPr>
          <w:rFonts w:ascii="Arial" w:hAnsi="Arial"/>
          <w:sz w:val="24"/>
          <w:szCs w:val="24"/>
        </w:rPr>
        <w:tab/>
        <w:t xml:space="preserve">Za povšimnutí stojí též to, že se zdůrazněním významu svatby významně souvisí nesouhlas s tezemi, že „kdo nekrade, okrádá rodinu“ a že je třeba řídit se zásadou „oko za oko, zub za zub“ (a naopak). Zásadně pozitivní význam legalizace soužití pak signalizují ti respondenti, kteří se domnívají, že za kriminalitu mladých lidí mohou zejména nejasnosti v rozpoznávání dobra a zla a též vrozené povahové vlastnosti delikventů, dále respondenti, kteří jsou při řešení kriminality zastánci spíše metod represe než prevence a pocházejí z bezproblémových rodin. Akceptace svateb též – podle očekávání – pozitivně koreluje se zapojením respondenta do života nějaké církve. </w:t>
      </w:r>
    </w:p>
    <w:p w:rsidR="00DE4A70" w:rsidRPr="00EE6BD6" w:rsidRDefault="00DE4A70" w:rsidP="00EE6BD6">
      <w:pPr>
        <w:pStyle w:val="BodyText2"/>
        <w:spacing w:after="120"/>
        <w:ind w:firstLine="708"/>
        <w:rPr>
          <w:rFonts w:ascii="Arial" w:hAnsi="Arial"/>
        </w:rPr>
      </w:pPr>
      <w:r w:rsidRPr="00EE6BD6">
        <w:rPr>
          <w:rFonts w:ascii="Arial" w:hAnsi="Arial"/>
        </w:rPr>
        <w:t xml:space="preserve">Posouzení sentence „politická situace v ČR se dobře vyvíjí, důležité věci jdou správným směrem“ získala spíše nesouhlas než souhlas. S touto tezí souhlasí pouze přibližně každý desátý dotázaný, naproti tomu nesouhlas vyjádřila více jak třetina respondentů (34 %). Zde je třeba vzít ovšem pečlivě v úvahu, že dalších 9 % členů vzorku se hodnocení této teze zdrželo, což lze patrně interpretovat tak, že dotázaní nemají jistotu při rozhodování v této otázce. Domníváme se, že toto zjištění je velmi závažné a zároveň pesimistické. Naladění mladé generace signalizuje, že si mládež – ať již z jakéhokoliv důvodu - nedělá iluze o politické situaci ve které se nalézá, že nemá pocit, že se ve svém případném společenském angažování bude v nejbližší době zapojovat do pozitivních projektů a akceptovatelných směrů rozvoje společnosti. Navíc při hodnocení této otázky nenalézáme žádné statisticky významné rozdíly mezi názory mužů a žen, z hlediska věku pak lze zaznamenat pouze to, že nejmladší kategorie respondentů nemá statisticky častěji názor na předloženou tezi. </w:t>
      </w:r>
    </w:p>
    <w:p w:rsidR="00DE4A70" w:rsidRPr="00EE6BD6" w:rsidRDefault="00DE4A70" w:rsidP="00EE6BD6">
      <w:pPr>
        <w:pStyle w:val="BodyText2"/>
        <w:spacing w:after="120"/>
        <w:ind w:firstLine="708"/>
        <w:outlineLvl w:val="0"/>
        <w:rPr>
          <w:rFonts w:ascii="Arial" w:hAnsi="Arial"/>
        </w:rPr>
      </w:pPr>
      <w:r w:rsidRPr="00EE6BD6">
        <w:rPr>
          <w:rFonts w:ascii="Arial" w:hAnsi="Arial"/>
        </w:rPr>
        <w:t>Na tomto místě si všimněme vztahu respondentů k práci a majetku. Podívejme se nejdříve na teze, které se různým způsobem vztahují k práci a materiálnímu standardu lidí. Jedním z nich je výrok, že „většina mladých lidí jsou flákači a příživníci“. S takto formulovaným výrokem víceméně nesouhlasí téměř polovina dotázaných, přičemž naprostý nesouhlas vyjádřilo celých 23 % mladých lidí vzorku.</w:t>
      </w:r>
    </w:p>
    <w:p w:rsidR="00DE4A70" w:rsidRPr="00EE6BD6" w:rsidRDefault="00DE4A70" w:rsidP="00EE6BD6">
      <w:pPr>
        <w:pStyle w:val="BodyText2"/>
        <w:spacing w:after="120"/>
        <w:ind w:firstLine="708"/>
        <w:rPr>
          <w:rFonts w:ascii="Arial" w:hAnsi="Arial"/>
        </w:rPr>
      </w:pPr>
      <w:r w:rsidRPr="00EE6BD6">
        <w:rPr>
          <w:rFonts w:ascii="Arial" w:hAnsi="Arial"/>
        </w:rPr>
        <w:t>Komplementárně k výše uvedenému hodnocení mladé generace jsme zařadili do posuzovaných tezí výrok „většina starých lidí jen ekonomicky zatěžuje náš stát“. S takto formulovaným výrokem podstatná většina dotázaných též nesouhlasila, názor, že je výše uvedená teze pravdivá zastávala necelá desetina všech dotázaných, naopak výrazný nesouhlas vyjadřovala polovina respondentů. Ženy častěji než muži, nesouhlasí s nazíráním na staré lidí jako na pouhou ekonomickou společenskou zátěž. Nesprávnost teze o ekonomické zátěži seniorů signalizuje nejčastěji nejstarší skupina dotázaných do 24 let (relativně starší respondenti jsou zřejmě lépe schopni oprostit se od jednoduchých klišé), dále lidé s vyšším vzděláním (zejména vysokoškoláci a lidé se střední školou s maturitou) a respondenti, kteří  nesouhlasí  s tezemi typu „kdo nekrade, okrádá svoji rodinu“ jakož i s odplatnou teorií „oko za oko, zub za zub“. Nesouhlas s negativním hodnocením seniorů vyjadřují dále i lidé, kteří nesouhlasí s tezí o neschopnosti policie při odhalování zločinu, též nábožensky věřící lidé a ti, kteří se v mládí více zúčastňovali organizovaných aktivit volného času. Obecně lze konstatovat, že zkoumaní mladí lidé ve věku 15 – 24 let v zásadě nesmýšlejí špatně ani o své generaci, ani o lidech z opačného ok</w:t>
      </w:r>
      <w:r>
        <w:rPr>
          <w:rFonts w:ascii="Arial" w:hAnsi="Arial"/>
        </w:rPr>
        <w:t xml:space="preserve">raje spektra věkového rozložení </w:t>
      </w:r>
      <w:r w:rsidRPr="00EE6BD6">
        <w:rPr>
          <w:rFonts w:ascii="Arial" w:hAnsi="Arial"/>
        </w:rPr>
        <w:t>a neobviňují starší generaci z nespravedlivého odčerpávání ekonomických zdrojů.</w:t>
      </w:r>
    </w:p>
    <w:p w:rsidR="00DE4A70" w:rsidRPr="00EE6BD6" w:rsidRDefault="00DE4A70" w:rsidP="00EE6BD6">
      <w:pPr>
        <w:pStyle w:val="BodyText2"/>
        <w:spacing w:after="120"/>
        <w:rPr>
          <w:rFonts w:ascii="Arial" w:hAnsi="Arial"/>
        </w:rPr>
      </w:pPr>
      <w:r w:rsidRPr="00EE6BD6">
        <w:rPr>
          <w:rFonts w:ascii="Arial" w:hAnsi="Arial"/>
          <w:szCs w:val="32"/>
        </w:rPr>
        <w:tab/>
      </w:r>
      <w:r w:rsidRPr="00EE6BD6">
        <w:rPr>
          <w:rFonts w:ascii="Arial" w:hAnsi="Arial"/>
        </w:rPr>
        <w:t>Téměř třetina respondentů souhlasí s tezí, že „jestliže nemáš to, co je „in“, nepřijmou tě mladí lidé mezi sebe“. Tuto obavu sdílejí především respondenti s nižším stupněm vzdělání, vnější materiálně vyhrocený tlak je citlivěji zaznamenáván mladými lidmi, kterým schází vzdělanostní korekce jejich pohledu na svět a kteří se navíc pohybují v prostředí, které status člověka odvozuje od toho, co vlastní. Někteří mladí lidé se ve svém životě dostávají do určité pasti tlaku vnějšího, spotřebním materialismem ovlivněného, sociálního prostředí, které působí na tužby a potřeby mladého člověka o to intenzivněji o co je tento životní postoj vlastní nejbližšímu referenčnímu okruhu vrstevníků.</w:t>
      </w:r>
    </w:p>
    <w:p w:rsidR="00DE4A70" w:rsidRPr="00EE6BD6" w:rsidRDefault="00DE4A70" w:rsidP="00EE6BD6">
      <w:pPr>
        <w:pStyle w:val="BodyText2"/>
        <w:spacing w:after="120"/>
        <w:rPr>
          <w:rFonts w:ascii="Arial" w:hAnsi="Arial"/>
          <w:szCs w:val="32"/>
        </w:rPr>
      </w:pPr>
      <w:r w:rsidRPr="00EE6BD6">
        <w:rPr>
          <w:rFonts w:ascii="Arial" w:hAnsi="Arial"/>
          <w:szCs w:val="32"/>
        </w:rPr>
        <w:tab/>
      </w:r>
      <w:r w:rsidRPr="00EE6BD6">
        <w:rPr>
          <w:rFonts w:ascii="Arial" w:hAnsi="Arial"/>
        </w:rPr>
        <w:t>Teze „kdo nemá peníze, nic neznamená“ a „kdo nekrade, okrádá rodinu“ měla naznačit vztah respondentů k významu bohatství (peněz) pro jejich život. Vnímání vyššího stupně svázání významu jedince s jeho osobním bohatstvím signalizovalo 56 % dotázaných. Krajní souhlas s tezí „kdo nemá peníze, nic neznamená“ vyjádřilo však pouze 14 % dotázaných. V této souvislosti je potěšitelné zjištění, že pouze něco více než čtvrtina respondentů (28,4 %) uvedla větší či menší souhlas s tezí „kdo nekrade, okrádá rodinu“,  přičemž absolutní souhlas s nelegálním získáváním majetku vyjádřilo pouze necelých 5  % dotázaných.</w:t>
      </w:r>
      <w:r w:rsidRPr="00EE6BD6">
        <w:rPr>
          <w:rFonts w:ascii="Arial" w:hAnsi="Arial"/>
          <w:szCs w:val="32"/>
        </w:rPr>
        <w:t xml:space="preserve"> </w:t>
      </w:r>
      <w:r w:rsidRPr="00EE6BD6">
        <w:rPr>
          <w:rFonts w:ascii="Arial" w:hAnsi="Arial"/>
        </w:rPr>
        <w:t>Přesněji řečeno, z celkového množství 840 respondentů zastávajících názor, že „kdo nemá peníze, nic neznamená“ pouze 307 (tedy 36,5 %) dotázaných více či méně souhlasí s tezí, že „kdo nekrade, okrádá rodinu“.  Ukazuje se tedy, že ačkoliv si jsou současní mladí lidé vědomi významu peněz pro sociální status, přesto setrvávají ve své většině na správném přesvědčení, že není vhodné si materiální úroveň zvyšovat např. krádežemi.</w:t>
      </w:r>
    </w:p>
    <w:p w:rsidR="00DE4A70" w:rsidRPr="00EE6BD6" w:rsidRDefault="00DE4A70" w:rsidP="00EE6BD6">
      <w:pPr>
        <w:pStyle w:val="BodyText2"/>
        <w:spacing w:after="120"/>
        <w:ind w:firstLine="709"/>
        <w:rPr>
          <w:rFonts w:ascii="Arial" w:hAnsi="Arial"/>
          <w:szCs w:val="16"/>
        </w:rPr>
      </w:pPr>
      <w:r w:rsidRPr="00EE6BD6">
        <w:rPr>
          <w:rFonts w:ascii="Arial" w:hAnsi="Arial"/>
          <w:szCs w:val="16"/>
        </w:rPr>
        <w:t>Na závěr tohoto sdělení je třeba konstatovat, že i přes pozitivní trend ve výskytu kriminality mladých lidí</w:t>
      </w:r>
      <w:r w:rsidRPr="00EE6BD6">
        <w:rPr>
          <w:rStyle w:val="FootnoteReference"/>
          <w:rFonts w:ascii="Arial" w:hAnsi="Arial"/>
          <w:szCs w:val="16"/>
        </w:rPr>
        <w:footnoteReference w:id="3"/>
      </w:r>
      <w:r w:rsidRPr="00EE6BD6">
        <w:rPr>
          <w:rFonts w:ascii="Arial" w:hAnsi="Arial"/>
          <w:szCs w:val="16"/>
        </w:rPr>
        <w:t xml:space="preserve"> je i v budoucnu třeba pečlivě sledovat veřejné mínění mladých lidí o kriminalitě a jejich příčinách. Trvalé snížení výskytu kriminality se totiž neobejde bez pozitivního etického postoje většinové společnosti obecně a mladé generace zvlášť. P</w:t>
      </w:r>
      <w:r w:rsidRPr="00EE6BD6">
        <w:rPr>
          <w:rFonts w:ascii="Arial" w:hAnsi="Arial"/>
          <w:bCs/>
        </w:rPr>
        <w:t>oznání názorů a postojů mladých lidí ke kriminalitě je důležitým zdrojem společenské reflexe, která by měla na jedné straně vyústit zejména k poznání nových kriminogenních zdrojů, jednak – na straně druhé - k sociálně pedagogickým zásahům při výchově mladé generace.</w:t>
      </w:r>
    </w:p>
    <w:p w:rsidR="00DE4A70" w:rsidRPr="00EE6BD6" w:rsidRDefault="00DE4A70" w:rsidP="00EE6BD6">
      <w:pPr>
        <w:spacing w:after="120" w:line="240" w:lineRule="auto"/>
        <w:rPr>
          <w:rFonts w:ascii="Arial" w:hAnsi="Arial"/>
          <w:sz w:val="24"/>
          <w:szCs w:val="24"/>
        </w:rPr>
      </w:pPr>
    </w:p>
    <w:p w:rsidR="00DE4A70" w:rsidRPr="00EE6BD6" w:rsidRDefault="00DE4A70" w:rsidP="00EE6BD6">
      <w:pPr>
        <w:pStyle w:val="BodyText2"/>
        <w:spacing w:after="120" w:line="360" w:lineRule="auto"/>
        <w:rPr>
          <w:rFonts w:ascii="Arial" w:hAnsi="Arial"/>
          <w:i/>
        </w:rPr>
      </w:pPr>
      <w:r w:rsidRPr="00EE6BD6">
        <w:rPr>
          <w:rFonts w:ascii="Arial" w:hAnsi="Arial"/>
          <w:i/>
        </w:rPr>
        <w:t xml:space="preserve">Zpracoval: PhDr. K. Večerka, CSc. </w:t>
      </w:r>
    </w:p>
    <w:p w:rsidR="00DE4A70" w:rsidRPr="00EE6BD6" w:rsidRDefault="00DE4A70" w:rsidP="00EE6BD6">
      <w:pPr>
        <w:pStyle w:val="BodyText2"/>
        <w:spacing w:after="120" w:line="360" w:lineRule="auto"/>
        <w:rPr>
          <w:rFonts w:ascii="Arial" w:hAnsi="Arial"/>
          <w:szCs w:val="20"/>
        </w:rPr>
      </w:pPr>
    </w:p>
    <w:sectPr w:rsidR="00DE4A70" w:rsidRPr="00EE6BD6" w:rsidSect="009609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4A70" w:rsidRDefault="00DE4A70" w:rsidP="001C65B8">
      <w:pPr>
        <w:spacing w:after="0" w:line="240" w:lineRule="auto"/>
      </w:pPr>
      <w:r>
        <w:separator/>
      </w:r>
    </w:p>
  </w:endnote>
  <w:endnote w:type="continuationSeparator" w:id="0">
    <w:p w:rsidR="00DE4A70" w:rsidRDefault="00DE4A70" w:rsidP="001C65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4A70" w:rsidRDefault="00DE4A70" w:rsidP="001C65B8">
      <w:pPr>
        <w:spacing w:after="0" w:line="240" w:lineRule="auto"/>
      </w:pPr>
      <w:r>
        <w:separator/>
      </w:r>
    </w:p>
  </w:footnote>
  <w:footnote w:type="continuationSeparator" w:id="0">
    <w:p w:rsidR="00DE4A70" w:rsidRDefault="00DE4A70" w:rsidP="001C65B8">
      <w:pPr>
        <w:spacing w:after="0" w:line="240" w:lineRule="auto"/>
      </w:pPr>
      <w:r>
        <w:continuationSeparator/>
      </w:r>
    </w:p>
  </w:footnote>
  <w:footnote w:id="1">
    <w:p w:rsidR="00DE4A70" w:rsidRDefault="00DE4A70" w:rsidP="00DA52B9">
      <w:pPr>
        <w:pStyle w:val="FootnoteText"/>
      </w:pPr>
      <w:r>
        <w:rPr>
          <w:rStyle w:val="FootnoteReference"/>
        </w:rPr>
        <w:footnoteRef/>
      </w:r>
      <w:r>
        <w:t xml:space="preserve"> Celkové výsledky výzkumu lze nalézt v publikaci: Večerka, K., Mládež o kriminalitě a etice každodennosti, IKSP, 2012</w:t>
      </w:r>
    </w:p>
  </w:footnote>
  <w:footnote w:id="2">
    <w:p w:rsidR="00DE4A70" w:rsidRDefault="00DE4A70" w:rsidP="00DA52B9">
      <w:pPr>
        <w:pStyle w:val="FootnoteText"/>
      </w:pPr>
      <w:r>
        <w:rPr>
          <w:rStyle w:val="FootnoteReference"/>
        </w:rPr>
        <w:footnoteRef/>
      </w:r>
      <w:r>
        <w:t xml:space="preserve"> Výzkum byl technicky realizován společnosti pro výzkum veřejného mínění Factum invenio metodou „face to face“, výběr byl kvótní</w:t>
      </w:r>
      <w:r>
        <w:rPr>
          <w:bCs/>
        </w:rPr>
        <w:t xml:space="preserve"> s kvótními znaky pohlaví, věk, vzdělání, kraj a velikost místa bydliště. Mimo to bylo požadováno, aby v každé pohlavní a věkové kategorii (15 –17 let, 18 – 21 let a 22 – 24 let) bylo nejméně 6% tzv. vyloučených respondentů, tj. respondentů, kteří se nějakým způsobem vymykají běžné populaci a pohybují se na okraji svých vrstevnických skupin.</w:t>
      </w:r>
    </w:p>
  </w:footnote>
  <w:footnote w:id="3">
    <w:p w:rsidR="00DE4A70" w:rsidRPr="00CA582E" w:rsidRDefault="00DE4A70" w:rsidP="00A81AF5">
      <w:pPr>
        <w:pStyle w:val="FootnoteText"/>
      </w:pPr>
      <w:r>
        <w:rPr>
          <w:rStyle w:val="FootnoteReference"/>
        </w:rPr>
        <w:footnoteRef/>
      </w:r>
      <w:r>
        <w:t xml:space="preserve"> V</w:t>
      </w:r>
      <w:r w:rsidRPr="00482A72">
        <w:rPr>
          <w:bCs/>
        </w:rPr>
        <w:t>e srovnání s rokem 2001 – došlo v ČR k</w:t>
      </w:r>
      <w:r>
        <w:rPr>
          <w:bCs/>
        </w:rPr>
        <w:t> </w:t>
      </w:r>
      <w:r w:rsidRPr="00482A72">
        <w:rPr>
          <w:bCs/>
        </w:rPr>
        <w:t>poklesu registrovaných mladistvých pachatelů zhruba na třetinu a u dětí mladší 15 let zaznamenáváme dokonce pokles o více jak 80 %. V absolutních číslech to znamená, že v roce 2001 bylo policejní statistikou vykázáno 17 804 mladistvých pachatelů a 9 032 dětí mladších 15 let, v roce 2010 tatáž statistika zaznamenává pouze 5 616 mladistvých pachatelů a 1 606 dětí do 15 let věku</w:t>
      </w:r>
      <w:r>
        <w:rPr>
          <w:bCs/>
        </w:rPr>
        <w:t>. Srovnej</w:t>
      </w:r>
      <w:r w:rsidRPr="00CA582E">
        <w:t>: Marešová, A., Cejp, M., Martinková, M., Scheinost, M., Vlach, J., Analýza trendů kriminality v roce 2010, IKSP, ISBN 978-80-7338-117-2, Praha 2011</w:t>
      </w:r>
    </w:p>
    <w:p w:rsidR="00DE4A70" w:rsidRDefault="00DE4A70" w:rsidP="00A81AF5">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00B62"/>
    <w:multiLevelType w:val="hybridMultilevel"/>
    <w:tmpl w:val="DFBCD51A"/>
    <w:lvl w:ilvl="0" w:tplc="0405000F">
      <w:start w:val="1"/>
      <w:numFmt w:val="decimal"/>
      <w:lvlText w:val="%1."/>
      <w:lvlJc w:val="left"/>
      <w:pPr>
        <w:tabs>
          <w:tab w:val="num" w:pos="833"/>
        </w:tabs>
        <w:ind w:left="833" w:hanging="360"/>
      </w:pPr>
      <w:rPr>
        <w:rFonts w:cs="Times New Roman"/>
      </w:rPr>
    </w:lvl>
    <w:lvl w:ilvl="1" w:tplc="04050019" w:tentative="1">
      <w:start w:val="1"/>
      <w:numFmt w:val="lowerLetter"/>
      <w:lvlText w:val="%2."/>
      <w:lvlJc w:val="left"/>
      <w:pPr>
        <w:tabs>
          <w:tab w:val="num" w:pos="1553"/>
        </w:tabs>
        <w:ind w:left="1553" w:hanging="360"/>
      </w:pPr>
      <w:rPr>
        <w:rFonts w:cs="Times New Roman"/>
      </w:rPr>
    </w:lvl>
    <w:lvl w:ilvl="2" w:tplc="0405001B" w:tentative="1">
      <w:start w:val="1"/>
      <w:numFmt w:val="lowerRoman"/>
      <w:lvlText w:val="%3."/>
      <w:lvlJc w:val="right"/>
      <w:pPr>
        <w:tabs>
          <w:tab w:val="num" w:pos="2273"/>
        </w:tabs>
        <w:ind w:left="2273" w:hanging="180"/>
      </w:pPr>
      <w:rPr>
        <w:rFonts w:cs="Times New Roman"/>
      </w:rPr>
    </w:lvl>
    <w:lvl w:ilvl="3" w:tplc="0405000F" w:tentative="1">
      <w:start w:val="1"/>
      <w:numFmt w:val="decimal"/>
      <w:lvlText w:val="%4."/>
      <w:lvlJc w:val="left"/>
      <w:pPr>
        <w:tabs>
          <w:tab w:val="num" w:pos="2993"/>
        </w:tabs>
        <w:ind w:left="2993" w:hanging="360"/>
      </w:pPr>
      <w:rPr>
        <w:rFonts w:cs="Times New Roman"/>
      </w:rPr>
    </w:lvl>
    <w:lvl w:ilvl="4" w:tplc="04050019" w:tentative="1">
      <w:start w:val="1"/>
      <w:numFmt w:val="lowerLetter"/>
      <w:lvlText w:val="%5."/>
      <w:lvlJc w:val="left"/>
      <w:pPr>
        <w:tabs>
          <w:tab w:val="num" w:pos="3713"/>
        </w:tabs>
        <w:ind w:left="3713" w:hanging="360"/>
      </w:pPr>
      <w:rPr>
        <w:rFonts w:cs="Times New Roman"/>
      </w:rPr>
    </w:lvl>
    <w:lvl w:ilvl="5" w:tplc="0405001B" w:tentative="1">
      <w:start w:val="1"/>
      <w:numFmt w:val="lowerRoman"/>
      <w:lvlText w:val="%6."/>
      <w:lvlJc w:val="right"/>
      <w:pPr>
        <w:tabs>
          <w:tab w:val="num" w:pos="4433"/>
        </w:tabs>
        <w:ind w:left="4433" w:hanging="180"/>
      </w:pPr>
      <w:rPr>
        <w:rFonts w:cs="Times New Roman"/>
      </w:rPr>
    </w:lvl>
    <w:lvl w:ilvl="6" w:tplc="0405000F" w:tentative="1">
      <w:start w:val="1"/>
      <w:numFmt w:val="decimal"/>
      <w:lvlText w:val="%7."/>
      <w:lvlJc w:val="left"/>
      <w:pPr>
        <w:tabs>
          <w:tab w:val="num" w:pos="5153"/>
        </w:tabs>
        <w:ind w:left="5153" w:hanging="360"/>
      </w:pPr>
      <w:rPr>
        <w:rFonts w:cs="Times New Roman"/>
      </w:rPr>
    </w:lvl>
    <w:lvl w:ilvl="7" w:tplc="04050019" w:tentative="1">
      <w:start w:val="1"/>
      <w:numFmt w:val="lowerLetter"/>
      <w:lvlText w:val="%8."/>
      <w:lvlJc w:val="left"/>
      <w:pPr>
        <w:tabs>
          <w:tab w:val="num" w:pos="5873"/>
        </w:tabs>
        <w:ind w:left="5873" w:hanging="360"/>
      </w:pPr>
      <w:rPr>
        <w:rFonts w:cs="Times New Roman"/>
      </w:rPr>
    </w:lvl>
    <w:lvl w:ilvl="8" w:tplc="0405001B" w:tentative="1">
      <w:start w:val="1"/>
      <w:numFmt w:val="lowerRoman"/>
      <w:lvlText w:val="%9."/>
      <w:lvlJc w:val="right"/>
      <w:pPr>
        <w:tabs>
          <w:tab w:val="num" w:pos="6593"/>
        </w:tabs>
        <w:ind w:left="6593" w:hanging="180"/>
      </w:pPr>
      <w:rPr>
        <w:rFonts w:cs="Times New Roman"/>
      </w:rPr>
    </w:lvl>
  </w:abstractNum>
  <w:abstractNum w:abstractNumId="1">
    <w:nsid w:val="11EB297C"/>
    <w:multiLevelType w:val="hybridMultilevel"/>
    <w:tmpl w:val="AA0E7FB0"/>
    <w:lvl w:ilvl="0" w:tplc="D5C47734">
      <w:start w:val="5"/>
      <w:numFmt w:val="bullet"/>
      <w:lvlText w:val="-"/>
      <w:lvlJc w:val="left"/>
      <w:pPr>
        <w:tabs>
          <w:tab w:val="num" w:pos="420"/>
        </w:tabs>
        <w:ind w:left="420" w:hanging="360"/>
      </w:pPr>
      <w:rPr>
        <w:rFonts w:ascii="Times New Roman" w:eastAsia="Times New Roman" w:hAnsi="Times New Roman" w:hint="default"/>
      </w:rPr>
    </w:lvl>
    <w:lvl w:ilvl="1" w:tplc="04050003" w:tentative="1">
      <w:start w:val="1"/>
      <w:numFmt w:val="bullet"/>
      <w:lvlText w:val="o"/>
      <w:lvlJc w:val="left"/>
      <w:pPr>
        <w:tabs>
          <w:tab w:val="num" w:pos="1140"/>
        </w:tabs>
        <w:ind w:left="1140" w:hanging="360"/>
      </w:pPr>
      <w:rPr>
        <w:rFonts w:ascii="Courier New" w:hAnsi="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2">
    <w:nsid w:val="24E51057"/>
    <w:multiLevelType w:val="hybridMultilevel"/>
    <w:tmpl w:val="EA1A7F88"/>
    <w:lvl w:ilvl="0" w:tplc="F8B8454C">
      <w:numFmt w:val="bullet"/>
      <w:lvlText w:val="-"/>
      <w:lvlJc w:val="left"/>
      <w:pPr>
        <w:ind w:left="540" w:hanging="360"/>
      </w:pPr>
      <w:rPr>
        <w:rFonts w:ascii="Times New Roman" w:eastAsia="Times New Roman" w:hAnsi="Times New Roman" w:hint="default"/>
      </w:rPr>
    </w:lvl>
    <w:lvl w:ilvl="1" w:tplc="04050003" w:tentative="1">
      <w:start w:val="1"/>
      <w:numFmt w:val="bullet"/>
      <w:lvlText w:val="o"/>
      <w:lvlJc w:val="left"/>
      <w:pPr>
        <w:ind w:left="1260" w:hanging="360"/>
      </w:pPr>
      <w:rPr>
        <w:rFonts w:ascii="Courier New" w:hAnsi="Courier New" w:hint="default"/>
      </w:rPr>
    </w:lvl>
    <w:lvl w:ilvl="2" w:tplc="04050005" w:tentative="1">
      <w:start w:val="1"/>
      <w:numFmt w:val="bullet"/>
      <w:lvlText w:val=""/>
      <w:lvlJc w:val="left"/>
      <w:pPr>
        <w:ind w:left="1980" w:hanging="360"/>
      </w:pPr>
      <w:rPr>
        <w:rFonts w:ascii="Wingdings" w:hAnsi="Wingdings" w:hint="default"/>
      </w:rPr>
    </w:lvl>
    <w:lvl w:ilvl="3" w:tplc="04050001" w:tentative="1">
      <w:start w:val="1"/>
      <w:numFmt w:val="bullet"/>
      <w:lvlText w:val=""/>
      <w:lvlJc w:val="left"/>
      <w:pPr>
        <w:ind w:left="2700" w:hanging="360"/>
      </w:pPr>
      <w:rPr>
        <w:rFonts w:ascii="Symbol" w:hAnsi="Symbol" w:hint="default"/>
      </w:rPr>
    </w:lvl>
    <w:lvl w:ilvl="4" w:tplc="04050003" w:tentative="1">
      <w:start w:val="1"/>
      <w:numFmt w:val="bullet"/>
      <w:lvlText w:val="o"/>
      <w:lvlJc w:val="left"/>
      <w:pPr>
        <w:ind w:left="3420" w:hanging="360"/>
      </w:pPr>
      <w:rPr>
        <w:rFonts w:ascii="Courier New" w:hAnsi="Courier New" w:hint="default"/>
      </w:rPr>
    </w:lvl>
    <w:lvl w:ilvl="5" w:tplc="04050005" w:tentative="1">
      <w:start w:val="1"/>
      <w:numFmt w:val="bullet"/>
      <w:lvlText w:val=""/>
      <w:lvlJc w:val="left"/>
      <w:pPr>
        <w:ind w:left="4140" w:hanging="360"/>
      </w:pPr>
      <w:rPr>
        <w:rFonts w:ascii="Wingdings" w:hAnsi="Wingdings" w:hint="default"/>
      </w:rPr>
    </w:lvl>
    <w:lvl w:ilvl="6" w:tplc="04050001" w:tentative="1">
      <w:start w:val="1"/>
      <w:numFmt w:val="bullet"/>
      <w:lvlText w:val=""/>
      <w:lvlJc w:val="left"/>
      <w:pPr>
        <w:ind w:left="4860" w:hanging="360"/>
      </w:pPr>
      <w:rPr>
        <w:rFonts w:ascii="Symbol" w:hAnsi="Symbol" w:hint="default"/>
      </w:rPr>
    </w:lvl>
    <w:lvl w:ilvl="7" w:tplc="04050003" w:tentative="1">
      <w:start w:val="1"/>
      <w:numFmt w:val="bullet"/>
      <w:lvlText w:val="o"/>
      <w:lvlJc w:val="left"/>
      <w:pPr>
        <w:ind w:left="5580" w:hanging="360"/>
      </w:pPr>
      <w:rPr>
        <w:rFonts w:ascii="Courier New" w:hAnsi="Courier New" w:hint="default"/>
      </w:rPr>
    </w:lvl>
    <w:lvl w:ilvl="8" w:tplc="04050005" w:tentative="1">
      <w:start w:val="1"/>
      <w:numFmt w:val="bullet"/>
      <w:lvlText w:val=""/>
      <w:lvlJc w:val="left"/>
      <w:pPr>
        <w:ind w:left="6300" w:hanging="360"/>
      </w:pPr>
      <w:rPr>
        <w:rFonts w:ascii="Wingdings" w:hAnsi="Wingdings" w:hint="default"/>
      </w:rPr>
    </w:lvl>
  </w:abstractNum>
  <w:abstractNum w:abstractNumId="3">
    <w:nsid w:val="30184B97"/>
    <w:multiLevelType w:val="hybridMultilevel"/>
    <w:tmpl w:val="2F96D810"/>
    <w:lvl w:ilvl="0" w:tplc="F30464BE">
      <w:start w:val="1"/>
      <w:numFmt w:val="bullet"/>
      <w:lvlText w:val=""/>
      <w:lvlJc w:val="left"/>
      <w:pPr>
        <w:ind w:left="720" w:hanging="360"/>
      </w:pPr>
      <w:rPr>
        <w:rFonts w:ascii="Wingdings" w:hAnsi="Wingdings" w:hint="default"/>
        <w:color w:val="808080"/>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39EC6293"/>
    <w:multiLevelType w:val="hybridMultilevel"/>
    <w:tmpl w:val="96FE29BC"/>
    <w:lvl w:ilvl="0" w:tplc="86FAA8BA">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DFB77FB"/>
    <w:multiLevelType w:val="hybridMultilevel"/>
    <w:tmpl w:val="7968FC42"/>
    <w:lvl w:ilvl="0" w:tplc="0405000F">
      <w:start w:val="1"/>
      <w:numFmt w:val="decimal"/>
      <w:lvlText w:val="%1."/>
      <w:lvlJc w:val="left"/>
      <w:pPr>
        <w:tabs>
          <w:tab w:val="num" w:pos="833"/>
        </w:tabs>
        <w:ind w:left="833" w:hanging="360"/>
      </w:pPr>
      <w:rPr>
        <w:rFonts w:cs="Times New Roman"/>
      </w:rPr>
    </w:lvl>
    <w:lvl w:ilvl="1" w:tplc="04050019" w:tentative="1">
      <w:start w:val="1"/>
      <w:numFmt w:val="lowerLetter"/>
      <w:lvlText w:val="%2."/>
      <w:lvlJc w:val="left"/>
      <w:pPr>
        <w:tabs>
          <w:tab w:val="num" w:pos="1553"/>
        </w:tabs>
        <w:ind w:left="1553" w:hanging="360"/>
      </w:pPr>
      <w:rPr>
        <w:rFonts w:cs="Times New Roman"/>
      </w:rPr>
    </w:lvl>
    <w:lvl w:ilvl="2" w:tplc="0405001B" w:tentative="1">
      <w:start w:val="1"/>
      <w:numFmt w:val="lowerRoman"/>
      <w:lvlText w:val="%3."/>
      <w:lvlJc w:val="right"/>
      <w:pPr>
        <w:tabs>
          <w:tab w:val="num" w:pos="2273"/>
        </w:tabs>
        <w:ind w:left="2273" w:hanging="180"/>
      </w:pPr>
      <w:rPr>
        <w:rFonts w:cs="Times New Roman"/>
      </w:rPr>
    </w:lvl>
    <w:lvl w:ilvl="3" w:tplc="0405000F" w:tentative="1">
      <w:start w:val="1"/>
      <w:numFmt w:val="decimal"/>
      <w:lvlText w:val="%4."/>
      <w:lvlJc w:val="left"/>
      <w:pPr>
        <w:tabs>
          <w:tab w:val="num" w:pos="2993"/>
        </w:tabs>
        <w:ind w:left="2993" w:hanging="360"/>
      </w:pPr>
      <w:rPr>
        <w:rFonts w:cs="Times New Roman"/>
      </w:rPr>
    </w:lvl>
    <w:lvl w:ilvl="4" w:tplc="04050019" w:tentative="1">
      <w:start w:val="1"/>
      <w:numFmt w:val="lowerLetter"/>
      <w:lvlText w:val="%5."/>
      <w:lvlJc w:val="left"/>
      <w:pPr>
        <w:tabs>
          <w:tab w:val="num" w:pos="3713"/>
        </w:tabs>
        <w:ind w:left="3713" w:hanging="360"/>
      </w:pPr>
      <w:rPr>
        <w:rFonts w:cs="Times New Roman"/>
      </w:rPr>
    </w:lvl>
    <w:lvl w:ilvl="5" w:tplc="0405001B" w:tentative="1">
      <w:start w:val="1"/>
      <w:numFmt w:val="lowerRoman"/>
      <w:lvlText w:val="%6."/>
      <w:lvlJc w:val="right"/>
      <w:pPr>
        <w:tabs>
          <w:tab w:val="num" w:pos="4433"/>
        </w:tabs>
        <w:ind w:left="4433" w:hanging="180"/>
      </w:pPr>
      <w:rPr>
        <w:rFonts w:cs="Times New Roman"/>
      </w:rPr>
    </w:lvl>
    <w:lvl w:ilvl="6" w:tplc="0405000F" w:tentative="1">
      <w:start w:val="1"/>
      <w:numFmt w:val="decimal"/>
      <w:lvlText w:val="%7."/>
      <w:lvlJc w:val="left"/>
      <w:pPr>
        <w:tabs>
          <w:tab w:val="num" w:pos="5153"/>
        </w:tabs>
        <w:ind w:left="5153" w:hanging="360"/>
      </w:pPr>
      <w:rPr>
        <w:rFonts w:cs="Times New Roman"/>
      </w:rPr>
    </w:lvl>
    <w:lvl w:ilvl="7" w:tplc="04050019" w:tentative="1">
      <w:start w:val="1"/>
      <w:numFmt w:val="lowerLetter"/>
      <w:lvlText w:val="%8."/>
      <w:lvlJc w:val="left"/>
      <w:pPr>
        <w:tabs>
          <w:tab w:val="num" w:pos="5873"/>
        </w:tabs>
        <w:ind w:left="5873" w:hanging="360"/>
      </w:pPr>
      <w:rPr>
        <w:rFonts w:cs="Times New Roman"/>
      </w:rPr>
    </w:lvl>
    <w:lvl w:ilvl="8" w:tplc="0405001B" w:tentative="1">
      <w:start w:val="1"/>
      <w:numFmt w:val="lowerRoman"/>
      <w:lvlText w:val="%9."/>
      <w:lvlJc w:val="right"/>
      <w:pPr>
        <w:tabs>
          <w:tab w:val="num" w:pos="6593"/>
        </w:tabs>
        <w:ind w:left="6593" w:hanging="180"/>
      </w:pPr>
      <w:rPr>
        <w:rFonts w:cs="Times New Roman"/>
      </w:rPr>
    </w:lvl>
  </w:abstractNum>
  <w:abstractNum w:abstractNumId="6">
    <w:nsid w:val="663B1F83"/>
    <w:multiLevelType w:val="hybridMultilevel"/>
    <w:tmpl w:val="3764878A"/>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nsid w:val="70107205"/>
    <w:multiLevelType w:val="hybridMultilevel"/>
    <w:tmpl w:val="0D86541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7"/>
  </w:num>
  <w:num w:numId="3">
    <w:abstractNumId w:val="5"/>
  </w:num>
  <w:num w:numId="4">
    <w:abstractNumId w:val="0"/>
  </w:num>
  <w:num w:numId="5">
    <w:abstractNumId w:val="6"/>
  </w:num>
  <w:num w:numId="6">
    <w:abstractNumId w:val="4"/>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5B8"/>
    <w:rsid w:val="00070DAD"/>
    <w:rsid w:val="00073825"/>
    <w:rsid w:val="000D165D"/>
    <w:rsid w:val="00106021"/>
    <w:rsid w:val="00112FF7"/>
    <w:rsid w:val="0016742F"/>
    <w:rsid w:val="001C65B8"/>
    <w:rsid w:val="001E2453"/>
    <w:rsid w:val="001F73A7"/>
    <w:rsid w:val="00204C68"/>
    <w:rsid w:val="00256051"/>
    <w:rsid w:val="00277AF7"/>
    <w:rsid w:val="00290235"/>
    <w:rsid w:val="002A0AE7"/>
    <w:rsid w:val="002E1FD9"/>
    <w:rsid w:val="002F046D"/>
    <w:rsid w:val="00380627"/>
    <w:rsid w:val="00403C2E"/>
    <w:rsid w:val="0044639B"/>
    <w:rsid w:val="00455337"/>
    <w:rsid w:val="00464DCD"/>
    <w:rsid w:val="00472940"/>
    <w:rsid w:val="00482A72"/>
    <w:rsid w:val="004C4A45"/>
    <w:rsid w:val="004E4EEC"/>
    <w:rsid w:val="004F7317"/>
    <w:rsid w:val="00540BF1"/>
    <w:rsid w:val="00575863"/>
    <w:rsid w:val="005F620A"/>
    <w:rsid w:val="005F71A1"/>
    <w:rsid w:val="006224FD"/>
    <w:rsid w:val="006811F2"/>
    <w:rsid w:val="006B2E45"/>
    <w:rsid w:val="006F1122"/>
    <w:rsid w:val="006F1394"/>
    <w:rsid w:val="00782ED4"/>
    <w:rsid w:val="00791C31"/>
    <w:rsid w:val="007C4B95"/>
    <w:rsid w:val="00820713"/>
    <w:rsid w:val="00866A22"/>
    <w:rsid w:val="008A3024"/>
    <w:rsid w:val="008A73A5"/>
    <w:rsid w:val="008C219F"/>
    <w:rsid w:val="008D7C22"/>
    <w:rsid w:val="0092037E"/>
    <w:rsid w:val="00950211"/>
    <w:rsid w:val="00950835"/>
    <w:rsid w:val="0096096B"/>
    <w:rsid w:val="00966B53"/>
    <w:rsid w:val="0097236A"/>
    <w:rsid w:val="00976AF4"/>
    <w:rsid w:val="00983E21"/>
    <w:rsid w:val="009D1D0B"/>
    <w:rsid w:val="009F5694"/>
    <w:rsid w:val="00A161F7"/>
    <w:rsid w:val="00A62E42"/>
    <w:rsid w:val="00A74141"/>
    <w:rsid w:val="00A81AF5"/>
    <w:rsid w:val="00A94606"/>
    <w:rsid w:val="00AA624F"/>
    <w:rsid w:val="00AB6B28"/>
    <w:rsid w:val="00AC06F7"/>
    <w:rsid w:val="00AF4259"/>
    <w:rsid w:val="00B047A9"/>
    <w:rsid w:val="00B26C04"/>
    <w:rsid w:val="00B64717"/>
    <w:rsid w:val="00B77787"/>
    <w:rsid w:val="00BB022D"/>
    <w:rsid w:val="00BC221D"/>
    <w:rsid w:val="00C022D5"/>
    <w:rsid w:val="00C575D4"/>
    <w:rsid w:val="00C85AB8"/>
    <w:rsid w:val="00C91134"/>
    <w:rsid w:val="00C94B0A"/>
    <w:rsid w:val="00CA582E"/>
    <w:rsid w:val="00CB763B"/>
    <w:rsid w:val="00D12175"/>
    <w:rsid w:val="00D30450"/>
    <w:rsid w:val="00D3213D"/>
    <w:rsid w:val="00D40F52"/>
    <w:rsid w:val="00D54302"/>
    <w:rsid w:val="00D9742D"/>
    <w:rsid w:val="00DA52B9"/>
    <w:rsid w:val="00DD1A87"/>
    <w:rsid w:val="00DE4A70"/>
    <w:rsid w:val="00E63D34"/>
    <w:rsid w:val="00E74949"/>
    <w:rsid w:val="00EE6BD6"/>
    <w:rsid w:val="00F02BA3"/>
    <w:rsid w:val="00F115B0"/>
    <w:rsid w:val="00F155A9"/>
    <w:rsid w:val="00F3628B"/>
    <w:rsid w:val="00F52BB6"/>
    <w:rsid w:val="00F73CE5"/>
    <w:rsid w:val="00FB4798"/>
    <w:rsid w:val="00FE434E"/>
    <w:rsid w:val="00FF0679"/>
    <w:rsid w:val="00FF3B68"/>
    <w:rsid w:val="00FF522D"/>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6096B"/>
    <w:pPr>
      <w:spacing w:after="200" w:line="276" w:lineRule="auto"/>
    </w:pPr>
    <w:rPr>
      <w:lang w:eastAsia="en-US"/>
    </w:rPr>
  </w:style>
  <w:style w:type="paragraph" w:styleId="Heading1">
    <w:name w:val="heading 1"/>
    <w:basedOn w:val="Normal"/>
    <w:next w:val="Normal"/>
    <w:link w:val="Heading1Char"/>
    <w:uiPriority w:val="99"/>
    <w:qFormat/>
    <w:rsid w:val="00403C2E"/>
    <w:pPr>
      <w:keepNext/>
      <w:spacing w:after="0" w:line="240" w:lineRule="auto"/>
      <w:ind w:left="720"/>
      <w:outlineLvl w:val="0"/>
    </w:pPr>
    <w:rPr>
      <w:rFonts w:ascii="Arial" w:eastAsia="Times New Roman" w:hAnsi="Arial" w:cs="Arial"/>
      <w:i/>
      <w:iCs/>
      <w:szCs w:val="20"/>
      <w:lang w:eastAsia="cs-CZ"/>
    </w:rPr>
  </w:style>
  <w:style w:type="paragraph" w:styleId="Heading2">
    <w:name w:val="heading 2"/>
    <w:basedOn w:val="Normal"/>
    <w:next w:val="Normal"/>
    <w:link w:val="Heading2Char"/>
    <w:uiPriority w:val="99"/>
    <w:qFormat/>
    <w:rsid w:val="00403C2E"/>
    <w:pPr>
      <w:keepNext/>
      <w:spacing w:after="0" w:line="240" w:lineRule="auto"/>
      <w:outlineLvl w:val="1"/>
    </w:pPr>
    <w:rPr>
      <w:rFonts w:ascii="Times New Roman" w:eastAsia="Times New Roman" w:hAnsi="Times New Roman"/>
      <w:b/>
      <w:bCs/>
      <w:sz w:val="20"/>
      <w:szCs w:val="16"/>
      <w:lang w:eastAsia="cs-CZ"/>
    </w:rPr>
  </w:style>
  <w:style w:type="paragraph" w:styleId="Heading3">
    <w:name w:val="heading 3"/>
    <w:basedOn w:val="Normal"/>
    <w:next w:val="Normal"/>
    <w:link w:val="Heading3Char"/>
    <w:uiPriority w:val="99"/>
    <w:qFormat/>
    <w:rsid w:val="00403C2E"/>
    <w:pPr>
      <w:keepNext/>
      <w:spacing w:after="0" w:line="240" w:lineRule="auto"/>
      <w:outlineLvl w:val="2"/>
    </w:pPr>
    <w:rPr>
      <w:rFonts w:ascii="Times New Roman" w:eastAsia="Times New Roman" w:hAnsi="Times New Roman"/>
      <w:sz w:val="32"/>
      <w:szCs w:val="24"/>
      <w:lang w:eastAsia="cs-CZ"/>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03C2E"/>
    <w:rPr>
      <w:rFonts w:ascii="Arial" w:hAnsi="Arial" w:cs="Arial"/>
      <w:i/>
      <w:iCs/>
      <w:sz w:val="20"/>
      <w:szCs w:val="20"/>
      <w:lang w:eastAsia="cs-CZ"/>
    </w:rPr>
  </w:style>
  <w:style w:type="character" w:customStyle="1" w:styleId="Heading2Char">
    <w:name w:val="Heading 2 Char"/>
    <w:basedOn w:val="DefaultParagraphFont"/>
    <w:link w:val="Heading2"/>
    <w:uiPriority w:val="99"/>
    <w:locked/>
    <w:rsid w:val="00403C2E"/>
    <w:rPr>
      <w:rFonts w:ascii="Times New Roman" w:hAnsi="Times New Roman" w:cs="Times New Roman"/>
      <w:b/>
      <w:bCs/>
      <w:sz w:val="16"/>
      <w:szCs w:val="16"/>
      <w:lang w:eastAsia="cs-CZ"/>
    </w:rPr>
  </w:style>
  <w:style w:type="character" w:customStyle="1" w:styleId="Heading3Char">
    <w:name w:val="Heading 3 Char"/>
    <w:basedOn w:val="DefaultParagraphFont"/>
    <w:link w:val="Heading3"/>
    <w:uiPriority w:val="99"/>
    <w:locked/>
    <w:rsid w:val="00403C2E"/>
    <w:rPr>
      <w:rFonts w:ascii="Times New Roman" w:hAnsi="Times New Roman" w:cs="Times New Roman"/>
      <w:sz w:val="24"/>
      <w:szCs w:val="24"/>
      <w:lang w:eastAsia="cs-CZ"/>
    </w:rPr>
  </w:style>
  <w:style w:type="paragraph" w:styleId="BodyText2">
    <w:name w:val="Body Text 2"/>
    <w:basedOn w:val="Normal"/>
    <w:link w:val="BodyText2Char"/>
    <w:uiPriority w:val="99"/>
    <w:semiHidden/>
    <w:rsid w:val="001C65B8"/>
    <w:pPr>
      <w:spacing w:after="0" w:line="240" w:lineRule="auto"/>
      <w:jc w:val="both"/>
    </w:pPr>
    <w:rPr>
      <w:rFonts w:ascii="Times New Roman" w:eastAsia="Times New Roman" w:hAnsi="Times New Roman"/>
      <w:sz w:val="24"/>
      <w:szCs w:val="24"/>
      <w:lang w:eastAsia="cs-CZ"/>
    </w:rPr>
  </w:style>
  <w:style w:type="character" w:customStyle="1" w:styleId="BodyText2Char">
    <w:name w:val="Body Text 2 Char"/>
    <w:basedOn w:val="DefaultParagraphFont"/>
    <w:link w:val="BodyText2"/>
    <w:uiPriority w:val="99"/>
    <w:semiHidden/>
    <w:locked/>
    <w:rsid w:val="001C65B8"/>
    <w:rPr>
      <w:rFonts w:ascii="Times New Roman" w:hAnsi="Times New Roman" w:cs="Times New Roman"/>
      <w:sz w:val="24"/>
      <w:szCs w:val="24"/>
      <w:lang w:eastAsia="cs-CZ"/>
    </w:rPr>
  </w:style>
  <w:style w:type="paragraph" w:styleId="FootnoteText">
    <w:name w:val="footnote text"/>
    <w:basedOn w:val="Normal"/>
    <w:link w:val="FootnoteTextChar"/>
    <w:uiPriority w:val="99"/>
    <w:semiHidden/>
    <w:rsid w:val="001C65B8"/>
    <w:pPr>
      <w:spacing w:after="0" w:line="240" w:lineRule="auto"/>
    </w:pPr>
    <w:rPr>
      <w:rFonts w:ascii="Times New Roman" w:eastAsia="Times New Roman" w:hAnsi="Times New Roman"/>
      <w:sz w:val="20"/>
      <w:szCs w:val="20"/>
      <w:lang w:eastAsia="cs-CZ"/>
    </w:rPr>
  </w:style>
  <w:style w:type="character" w:customStyle="1" w:styleId="FootnoteTextChar">
    <w:name w:val="Footnote Text Char"/>
    <w:basedOn w:val="DefaultParagraphFont"/>
    <w:link w:val="FootnoteText"/>
    <w:uiPriority w:val="99"/>
    <w:semiHidden/>
    <w:locked/>
    <w:rsid w:val="001C65B8"/>
    <w:rPr>
      <w:rFonts w:ascii="Times New Roman" w:hAnsi="Times New Roman" w:cs="Times New Roman"/>
      <w:sz w:val="20"/>
      <w:szCs w:val="20"/>
      <w:lang w:eastAsia="cs-CZ"/>
    </w:rPr>
  </w:style>
  <w:style w:type="character" w:styleId="FootnoteReference">
    <w:name w:val="footnote reference"/>
    <w:basedOn w:val="DefaultParagraphFont"/>
    <w:uiPriority w:val="99"/>
    <w:semiHidden/>
    <w:rsid w:val="001C65B8"/>
    <w:rPr>
      <w:rFonts w:cs="Times New Roman"/>
      <w:vertAlign w:val="superscript"/>
    </w:rPr>
  </w:style>
  <w:style w:type="character" w:customStyle="1" w:styleId="st1">
    <w:name w:val="st1"/>
    <w:basedOn w:val="DefaultParagraphFont"/>
    <w:uiPriority w:val="99"/>
    <w:rsid w:val="001C65B8"/>
    <w:rPr>
      <w:rFonts w:cs="Times New Roman"/>
    </w:rPr>
  </w:style>
  <w:style w:type="paragraph" w:customStyle="1" w:styleId="QuickFormat1">
    <w:name w:val="QuickFormat1"/>
    <w:basedOn w:val="Normal"/>
    <w:uiPriority w:val="99"/>
    <w:rsid w:val="00CA582E"/>
    <w:pPr>
      <w:widowControl w:val="0"/>
      <w:autoSpaceDE w:val="0"/>
      <w:autoSpaceDN w:val="0"/>
      <w:adjustRightInd w:val="0"/>
      <w:spacing w:after="0" w:line="240" w:lineRule="auto"/>
    </w:pPr>
    <w:rPr>
      <w:rFonts w:ascii="Times" w:eastAsia="Times New Roman" w:hAnsi="Times"/>
      <w:b/>
      <w:bCs/>
      <w:color w:val="000000"/>
      <w:sz w:val="28"/>
      <w:szCs w:val="28"/>
      <w:lang w:val="en-US"/>
    </w:rPr>
  </w:style>
  <w:style w:type="paragraph" w:styleId="BalloonText">
    <w:name w:val="Balloon Text"/>
    <w:basedOn w:val="Normal"/>
    <w:link w:val="BalloonTextChar"/>
    <w:uiPriority w:val="99"/>
    <w:semiHidden/>
    <w:rsid w:val="00D974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9742D"/>
    <w:rPr>
      <w:rFonts w:ascii="Tahoma" w:hAnsi="Tahoma" w:cs="Tahoma"/>
      <w:sz w:val="16"/>
      <w:szCs w:val="16"/>
    </w:rPr>
  </w:style>
  <w:style w:type="paragraph" w:styleId="BodyText">
    <w:name w:val="Body Text"/>
    <w:basedOn w:val="Normal"/>
    <w:link w:val="BodyTextChar"/>
    <w:uiPriority w:val="99"/>
    <w:semiHidden/>
    <w:rsid w:val="00403C2E"/>
    <w:pPr>
      <w:spacing w:after="0" w:line="240" w:lineRule="auto"/>
    </w:pPr>
    <w:rPr>
      <w:rFonts w:ascii="Arial" w:eastAsia="Times New Roman" w:hAnsi="Arial" w:cs="Arial"/>
      <w:szCs w:val="20"/>
      <w:lang w:eastAsia="cs-CZ"/>
    </w:rPr>
  </w:style>
  <w:style w:type="character" w:customStyle="1" w:styleId="BodyTextChar">
    <w:name w:val="Body Text Char"/>
    <w:basedOn w:val="DefaultParagraphFont"/>
    <w:link w:val="BodyText"/>
    <w:uiPriority w:val="99"/>
    <w:semiHidden/>
    <w:locked/>
    <w:rsid w:val="00403C2E"/>
    <w:rPr>
      <w:rFonts w:ascii="Arial" w:hAnsi="Arial" w:cs="Arial"/>
      <w:sz w:val="20"/>
      <w:szCs w:val="20"/>
      <w:lang w:eastAsia="cs-CZ"/>
    </w:rPr>
  </w:style>
  <w:style w:type="paragraph" w:customStyle="1" w:styleId="0Otzkatab">
    <w:name w:val="0Otázka_tab"/>
    <w:basedOn w:val="Normal"/>
    <w:next w:val="Normal"/>
    <w:uiPriority w:val="99"/>
    <w:rsid w:val="00403C2E"/>
    <w:pPr>
      <w:spacing w:after="0" w:line="240" w:lineRule="auto"/>
      <w:ind w:left="113"/>
    </w:pPr>
    <w:rPr>
      <w:rFonts w:ascii="Times New Roman" w:eastAsia="Times New Roman" w:hAnsi="Times New Roman"/>
      <w:sz w:val="24"/>
      <w:szCs w:val="24"/>
      <w:lang w:eastAsia="cs-CZ"/>
    </w:rPr>
  </w:style>
  <w:style w:type="paragraph" w:customStyle="1" w:styleId="0-otzka">
    <w:name w:val="0-otázka"/>
    <w:basedOn w:val="0Otzkatab"/>
    <w:uiPriority w:val="99"/>
    <w:rsid w:val="00403C2E"/>
    <w:pPr>
      <w:spacing w:before="120" w:after="120"/>
      <w:ind w:left="0"/>
    </w:pPr>
    <w:rPr>
      <w:b/>
    </w:rPr>
  </w:style>
  <w:style w:type="paragraph" w:styleId="BodyText3">
    <w:name w:val="Body Text 3"/>
    <w:basedOn w:val="Normal"/>
    <w:link w:val="BodyText3Char"/>
    <w:uiPriority w:val="99"/>
    <w:semiHidden/>
    <w:rsid w:val="00403C2E"/>
    <w:pPr>
      <w:spacing w:after="0" w:line="240" w:lineRule="auto"/>
      <w:jc w:val="both"/>
    </w:pPr>
    <w:rPr>
      <w:rFonts w:ascii="Times New Roman" w:eastAsia="Times New Roman" w:hAnsi="Times New Roman"/>
      <w:b/>
      <w:bCs/>
      <w:sz w:val="24"/>
      <w:szCs w:val="24"/>
      <w:lang w:eastAsia="cs-CZ"/>
    </w:rPr>
  </w:style>
  <w:style w:type="character" w:customStyle="1" w:styleId="BodyText3Char">
    <w:name w:val="Body Text 3 Char"/>
    <w:basedOn w:val="DefaultParagraphFont"/>
    <w:link w:val="BodyText3"/>
    <w:uiPriority w:val="99"/>
    <w:semiHidden/>
    <w:locked/>
    <w:rsid w:val="00403C2E"/>
    <w:rPr>
      <w:rFonts w:ascii="Times New Roman" w:hAnsi="Times New Roman" w:cs="Times New Roman"/>
      <w:b/>
      <w:bCs/>
      <w:sz w:val="24"/>
      <w:szCs w:val="24"/>
      <w:lang w:eastAsia="cs-CZ"/>
    </w:rPr>
  </w:style>
  <w:style w:type="paragraph" w:styleId="BodyTextIndent">
    <w:name w:val="Body Text Indent"/>
    <w:basedOn w:val="Normal"/>
    <w:link w:val="BodyTextIndentChar"/>
    <w:uiPriority w:val="99"/>
    <w:semiHidden/>
    <w:rsid w:val="00403C2E"/>
    <w:pPr>
      <w:spacing w:after="0" w:line="360" w:lineRule="auto"/>
      <w:ind w:firstLine="709"/>
    </w:pPr>
    <w:rPr>
      <w:rFonts w:ascii="Times New Roman" w:eastAsia="Times New Roman" w:hAnsi="Times New Roman"/>
      <w:sz w:val="24"/>
      <w:szCs w:val="24"/>
      <w:lang w:eastAsia="cs-CZ"/>
    </w:rPr>
  </w:style>
  <w:style w:type="character" w:customStyle="1" w:styleId="BodyTextIndentChar">
    <w:name w:val="Body Text Indent Char"/>
    <w:basedOn w:val="DefaultParagraphFont"/>
    <w:link w:val="BodyTextIndent"/>
    <w:uiPriority w:val="99"/>
    <w:semiHidden/>
    <w:locked/>
    <w:rsid w:val="00403C2E"/>
    <w:rPr>
      <w:rFonts w:ascii="Times New Roman" w:hAnsi="Times New Roman" w:cs="Times New Roman"/>
      <w:sz w:val="24"/>
      <w:szCs w:val="24"/>
      <w:lang w:eastAsia="cs-CZ"/>
    </w:rPr>
  </w:style>
  <w:style w:type="paragraph" w:styleId="BodyTextIndent2">
    <w:name w:val="Body Text Indent 2"/>
    <w:basedOn w:val="Normal"/>
    <w:link w:val="BodyTextIndent2Char"/>
    <w:uiPriority w:val="99"/>
    <w:semiHidden/>
    <w:rsid w:val="00403C2E"/>
    <w:pPr>
      <w:spacing w:after="0" w:line="360" w:lineRule="auto"/>
      <w:ind w:firstLine="697"/>
    </w:pPr>
    <w:rPr>
      <w:rFonts w:ascii="Times New Roman" w:eastAsia="Times New Roman" w:hAnsi="Times New Roman"/>
      <w:sz w:val="24"/>
      <w:szCs w:val="24"/>
      <w:lang w:eastAsia="cs-CZ"/>
    </w:rPr>
  </w:style>
  <w:style w:type="character" w:customStyle="1" w:styleId="BodyTextIndent2Char">
    <w:name w:val="Body Text Indent 2 Char"/>
    <w:basedOn w:val="DefaultParagraphFont"/>
    <w:link w:val="BodyTextIndent2"/>
    <w:uiPriority w:val="99"/>
    <w:semiHidden/>
    <w:locked/>
    <w:rsid w:val="00403C2E"/>
    <w:rPr>
      <w:rFonts w:ascii="Times New Roman" w:hAnsi="Times New Roman" w:cs="Times New Roman"/>
      <w:sz w:val="24"/>
      <w:szCs w:val="24"/>
      <w:lang w:eastAsia="cs-CZ"/>
    </w:rPr>
  </w:style>
  <w:style w:type="paragraph" w:styleId="EndnoteText">
    <w:name w:val="endnote text"/>
    <w:basedOn w:val="Normal"/>
    <w:link w:val="EndnoteTextChar"/>
    <w:uiPriority w:val="99"/>
    <w:semiHidden/>
    <w:rsid w:val="00403C2E"/>
    <w:pPr>
      <w:spacing w:after="0" w:line="240" w:lineRule="auto"/>
    </w:pPr>
    <w:rPr>
      <w:rFonts w:ascii="Times New Roman" w:eastAsia="Times New Roman" w:hAnsi="Times New Roman"/>
      <w:sz w:val="20"/>
      <w:szCs w:val="20"/>
      <w:lang w:eastAsia="cs-CZ"/>
    </w:rPr>
  </w:style>
  <w:style w:type="character" w:customStyle="1" w:styleId="EndnoteTextChar">
    <w:name w:val="Endnote Text Char"/>
    <w:basedOn w:val="DefaultParagraphFont"/>
    <w:link w:val="EndnoteText"/>
    <w:uiPriority w:val="99"/>
    <w:semiHidden/>
    <w:locked/>
    <w:rsid w:val="00403C2E"/>
    <w:rPr>
      <w:rFonts w:ascii="Times New Roman" w:hAnsi="Times New Roman" w:cs="Times New Roman"/>
      <w:sz w:val="20"/>
      <w:szCs w:val="20"/>
      <w:lang w:eastAsia="cs-CZ"/>
    </w:rPr>
  </w:style>
  <w:style w:type="character" w:styleId="EndnoteReference">
    <w:name w:val="endnote reference"/>
    <w:basedOn w:val="DefaultParagraphFont"/>
    <w:uiPriority w:val="99"/>
    <w:semiHidden/>
    <w:rsid w:val="00403C2E"/>
    <w:rPr>
      <w:rFonts w:cs="Times New Roman"/>
      <w:vertAlign w:val="superscript"/>
    </w:rPr>
  </w:style>
  <w:style w:type="paragraph" w:styleId="DocumentMap">
    <w:name w:val="Document Map"/>
    <w:basedOn w:val="Normal"/>
    <w:link w:val="DocumentMapChar"/>
    <w:uiPriority w:val="99"/>
    <w:semiHidden/>
    <w:rsid w:val="00403C2E"/>
    <w:pPr>
      <w:shd w:val="clear" w:color="auto" w:fill="000080"/>
      <w:spacing w:after="0" w:line="240" w:lineRule="auto"/>
    </w:pPr>
    <w:rPr>
      <w:rFonts w:ascii="Tahoma" w:eastAsia="Times New Roman" w:hAnsi="Tahoma" w:cs="Tahoma"/>
      <w:sz w:val="24"/>
      <w:szCs w:val="24"/>
      <w:lang w:eastAsia="cs-CZ"/>
    </w:rPr>
  </w:style>
  <w:style w:type="character" w:customStyle="1" w:styleId="DocumentMapChar">
    <w:name w:val="Document Map Char"/>
    <w:basedOn w:val="DefaultParagraphFont"/>
    <w:link w:val="DocumentMap"/>
    <w:uiPriority w:val="99"/>
    <w:semiHidden/>
    <w:locked/>
    <w:rsid w:val="00403C2E"/>
    <w:rPr>
      <w:rFonts w:ascii="Tahoma" w:hAnsi="Tahoma" w:cs="Tahoma"/>
      <w:sz w:val="24"/>
      <w:szCs w:val="24"/>
      <w:shd w:val="clear" w:color="auto" w:fill="000080"/>
      <w:lang w:eastAsia="cs-CZ"/>
    </w:rPr>
  </w:style>
  <w:style w:type="paragraph" w:styleId="BodyTextIndent3">
    <w:name w:val="Body Text Indent 3"/>
    <w:basedOn w:val="Normal"/>
    <w:link w:val="BodyTextIndent3Char"/>
    <w:uiPriority w:val="99"/>
    <w:semiHidden/>
    <w:rsid w:val="00403C2E"/>
    <w:pPr>
      <w:spacing w:after="0" w:line="240" w:lineRule="auto"/>
      <w:ind w:left="-1417"/>
    </w:pPr>
    <w:rPr>
      <w:rFonts w:ascii="Times New Roman" w:eastAsia="Times New Roman" w:hAnsi="Times New Roman"/>
      <w:sz w:val="24"/>
      <w:szCs w:val="24"/>
      <w:lang w:eastAsia="cs-CZ"/>
    </w:rPr>
  </w:style>
  <w:style w:type="character" w:customStyle="1" w:styleId="BodyTextIndent3Char">
    <w:name w:val="Body Text Indent 3 Char"/>
    <w:basedOn w:val="DefaultParagraphFont"/>
    <w:link w:val="BodyTextIndent3"/>
    <w:uiPriority w:val="99"/>
    <w:semiHidden/>
    <w:locked/>
    <w:rsid w:val="00403C2E"/>
    <w:rPr>
      <w:rFonts w:ascii="Times New Roman" w:hAnsi="Times New Roman" w:cs="Times New Roman"/>
      <w:sz w:val="24"/>
      <w:szCs w:val="24"/>
      <w:lang w:eastAsia="cs-CZ"/>
    </w:rPr>
  </w:style>
  <w:style w:type="table" w:customStyle="1" w:styleId="Kalend2">
    <w:name w:val="Kalendář 2"/>
    <w:uiPriority w:val="99"/>
    <w:rsid w:val="00403C2E"/>
    <w:pPr>
      <w:jc w:val="center"/>
    </w:pPr>
    <w:rPr>
      <w:rFonts w:eastAsia="Times New Roman"/>
      <w:sz w:val="28"/>
      <w:szCs w:val="20"/>
    </w:rPr>
    <w:tblPr>
      <w:tblInd w:w="0" w:type="dxa"/>
      <w:tblBorders>
        <w:insideV w:val="single" w:sz="4" w:space="0" w:color="95B3D7"/>
      </w:tblBorders>
      <w:tblCellMar>
        <w:top w:w="0" w:type="dxa"/>
        <w:left w:w="108" w:type="dxa"/>
        <w:bottom w:w="0" w:type="dxa"/>
        <w:right w:w="108" w:type="dxa"/>
      </w:tblCellMar>
    </w:tblPr>
  </w:style>
  <w:style w:type="paragraph" w:styleId="Header">
    <w:name w:val="header"/>
    <w:basedOn w:val="Normal"/>
    <w:link w:val="HeaderChar"/>
    <w:uiPriority w:val="99"/>
    <w:rsid w:val="00403C2E"/>
    <w:pPr>
      <w:tabs>
        <w:tab w:val="center" w:pos="4536"/>
        <w:tab w:val="right" w:pos="9072"/>
      </w:tabs>
      <w:spacing w:after="0" w:line="240" w:lineRule="auto"/>
    </w:pPr>
    <w:rPr>
      <w:rFonts w:ascii="Times New Roman" w:eastAsia="Times New Roman" w:hAnsi="Times New Roman"/>
      <w:sz w:val="24"/>
      <w:szCs w:val="24"/>
      <w:lang w:eastAsia="cs-CZ"/>
    </w:rPr>
  </w:style>
  <w:style w:type="character" w:customStyle="1" w:styleId="HeaderChar">
    <w:name w:val="Header Char"/>
    <w:basedOn w:val="DefaultParagraphFont"/>
    <w:link w:val="Header"/>
    <w:uiPriority w:val="99"/>
    <w:locked/>
    <w:rsid w:val="00403C2E"/>
    <w:rPr>
      <w:rFonts w:ascii="Times New Roman" w:hAnsi="Times New Roman" w:cs="Times New Roman"/>
      <w:sz w:val="24"/>
      <w:szCs w:val="24"/>
      <w:lang w:eastAsia="cs-CZ"/>
    </w:rPr>
  </w:style>
  <w:style w:type="paragraph" w:styleId="Footer">
    <w:name w:val="footer"/>
    <w:basedOn w:val="Normal"/>
    <w:link w:val="FooterChar"/>
    <w:uiPriority w:val="99"/>
    <w:rsid w:val="00403C2E"/>
    <w:pPr>
      <w:tabs>
        <w:tab w:val="center" w:pos="4536"/>
        <w:tab w:val="right" w:pos="9072"/>
      </w:tabs>
      <w:spacing w:after="0" w:line="240" w:lineRule="auto"/>
    </w:pPr>
    <w:rPr>
      <w:rFonts w:ascii="Times New Roman" w:eastAsia="Times New Roman" w:hAnsi="Times New Roman"/>
      <w:sz w:val="24"/>
      <w:szCs w:val="24"/>
      <w:lang w:eastAsia="cs-CZ"/>
    </w:rPr>
  </w:style>
  <w:style w:type="character" w:customStyle="1" w:styleId="FooterChar">
    <w:name w:val="Footer Char"/>
    <w:basedOn w:val="DefaultParagraphFont"/>
    <w:link w:val="Footer"/>
    <w:uiPriority w:val="99"/>
    <w:locked/>
    <w:rsid w:val="00403C2E"/>
    <w:rPr>
      <w:rFonts w:ascii="Times New Roman" w:hAnsi="Times New Roman" w:cs="Times New Roman"/>
      <w:sz w:val="24"/>
      <w:szCs w:val="24"/>
      <w:lang w:eastAsia="cs-CZ"/>
    </w:rPr>
  </w:style>
  <w:style w:type="paragraph" w:customStyle="1" w:styleId="Standard">
    <w:name w:val="Standard"/>
    <w:uiPriority w:val="99"/>
    <w:rsid w:val="00403C2E"/>
    <w:pPr>
      <w:widowControl w:val="0"/>
      <w:suppressAutoHyphens/>
      <w:autoSpaceDN w:val="0"/>
      <w:textAlignment w:val="baseline"/>
    </w:pPr>
    <w:rPr>
      <w:rFonts w:ascii="Times New Roman" w:hAnsi="Times New Roman" w:cs="Tahoma"/>
      <w:kern w:val="3"/>
      <w:sz w:val="24"/>
      <w:szCs w:val="24"/>
      <w:lang w:eastAsia="zh-CN"/>
    </w:rPr>
  </w:style>
  <w:style w:type="character" w:styleId="Hyperlink">
    <w:name w:val="Hyperlink"/>
    <w:basedOn w:val="DefaultParagraphFont"/>
    <w:uiPriority w:val="99"/>
    <w:semiHidden/>
    <w:rsid w:val="00403C2E"/>
    <w:rPr>
      <w:rFonts w:ascii="Times New Roman" w:hAnsi="Times New Roman" w:cs="Times New Roman"/>
      <w:color w:val="0000FF"/>
      <w:u w:val="single"/>
    </w:rPr>
  </w:style>
  <w:style w:type="character" w:customStyle="1" w:styleId="apple-style-span">
    <w:name w:val="apple-style-span"/>
    <w:uiPriority w:val="99"/>
    <w:rsid w:val="00403C2E"/>
    <w:rPr>
      <w:rFonts w:ascii="Times New Roman" w:hAnsi="Times New Roman"/>
    </w:rPr>
  </w:style>
  <w:style w:type="character" w:styleId="Strong">
    <w:name w:val="Strong"/>
    <w:basedOn w:val="DefaultParagraphFont"/>
    <w:uiPriority w:val="99"/>
    <w:qFormat/>
    <w:rsid w:val="00403C2E"/>
    <w:rPr>
      <w:rFonts w:cs="Times New Roman"/>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6</Pages>
  <Words>2922</Words>
  <Characters>17241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Výzkum veřejného mínění mládeže</dc:title>
  <dc:subject/>
  <dc:creator>Večerka Kazimír PhDr.</dc:creator>
  <cp:keywords/>
  <dc:description/>
  <cp:lastModifiedBy>Dočkalová</cp:lastModifiedBy>
  <cp:revision>4</cp:revision>
  <cp:lastPrinted>2012-11-21T09:23:00Z</cp:lastPrinted>
  <dcterms:created xsi:type="dcterms:W3CDTF">2012-12-05T10:10:00Z</dcterms:created>
  <dcterms:modified xsi:type="dcterms:W3CDTF">2012-12-05T11:51:00Z</dcterms:modified>
</cp:coreProperties>
</file>