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3AD" w:rsidRPr="00107964" w:rsidRDefault="008933AD" w:rsidP="00107964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107964">
        <w:rPr>
          <w:rFonts w:ascii="Arial" w:hAnsi="Arial"/>
          <w:b/>
          <w:sz w:val="24"/>
          <w:szCs w:val="24"/>
        </w:rPr>
        <w:t>Analýza potřebnosti legislativní úpravy prevence kriminality</w:t>
      </w:r>
    </w:p>
    <w:p w:rsidR="008933AD" w:rsidRPr="00107964" w:rsidRDefault="008933AD" w:rsidP="00107964">
      <w:pPr>
        <w:spacing w:after="0" w:line="240" w:lineRule="auto"/>
        <w:jc w:val="both"/>
        <w:rPr>
          <w:rFonts w:ascii="Arial" w:hAnsi="Arial"/>
          <w:szCs w:val="24"/>
        </w:rPr>
      </w:pPr>
    </w:p>
    <w:p w:rsidR="008933AD" w:rsidRDefault="008933AD" w:rsidP="00107964">
      <w:pPr>
        <w:spacing w:after="0" w:line="240" w:lineRule="auto"/>
        <w:ind w:firstLine="708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 xml:space="preserve">Institut pro kriminologii a sociální prevenci se jako člen a expertní pracoviště Republikového výboru pro prevenci kriminality podílel v letech 2012 – 2014 na zpracování analýzy potřebnosti právní úpravy prevence kriminality a posouzení výsledků této analýzy. Jednalo se o společný úkol s RVPPK, plynoucí z usnesení vlády č. 925/2011 ke Strategii prevence kriminality na léta 2012 až 2015; tento úkol obsahově navazuje na předchozí usnesení vlády ČR č. 1150 ze dne 15. října 2007 ke Strategii prevence kriminality na léta 2008 až 2011. </w:t>
      </w:r>
    </w:p>
    <w:p w:rsidR="008933AD" w:rsidRPr="00107964" w:rsidRDefault="008933AD" w:rsidP="00107964">
      <w:pPr>
        <w:spacing w:after="0" w:line="240" w:lineRule="auto"/>
        <w:ind w:firstLine="708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b/>
          <w:szCs w:val="24"/>
        </w:rPr>
      </w:pPr>
      <w:r w:rsidRPr="00107964">
        <w:rPr>
          <w:rFonts w:ascii="Arial" w:hAnsi="Arial"/>
          <w:b/>
          <w:szCs w:val="24"/>
        </w:rPr>
        <w:t>I. Přehled právních norem relevantních pro oblast prevence</w:t>
      </w:r>
    </w:p>
    <w:p w:rsidR="008933AD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 xml:space="preserve">Nejprve bylo nezbytné za každý resort zformovat seznam zákonů a předpisů nižší právní síly relevantních pro výkon preventivních aktivit (do přehledu bylo uváděno číslo dané normy, o jakou normu jde a upřesnění části normy podstatné z hlediska prevence kriminality, charakteristika hlavní oblasti nebo oblastí jejich působností při realizaci aktivit resortu ve vztahu k prevenci kriminality a sociálně rizikových jevů). Vytvořen byl i tzv. contact list osob, do jejichž gesce výkon prevence spadá, a okrajově přehled hlavních spolupracujících subjektů. </w:t>
      </w: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b/>
          <w:szCs w:val="24"/>
        </w:rPr>
      </w:pPr>
      <w:r w:rsidRPr="00107964">
        <w:rPr>
          <w:rFonts w:ascii="Arial" w:hAnsi="Arial"/>
          <w:b/>
          <w:szCs w:val="24"/>
        </w:rPr>
        <w:t>II. Vyjádření respondentů k tematickým okruhům</w:t>
      </w:r>
    </w:p>
    <w:p w:rsidR="008933AD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 xml:space="preserve">Analýza IKSP dále shromáždila stanoviska respondentů k otázkám, zda jsou existující normy dostatečné, jsou-li provázané nebo se překrývají, a jestli se v praxi vyskytují aplikační problémy. V první otázce hodnotili dotazovaní </w:t>
      </w:r>
      <w:r w:rsidRPr="00107964">
        <w:rPr>
          <w:rFonts w:ascii="Arial" w:hAnsi="Arial"/>
          <w:szCs w:val="24"/>
          <w:u w:val="single"/>
        </w:rPr>
        <w:t>současný stav legislativy</w:t>
      </w:r>
      <w:r w:rsidRPr="00107964">
        <w:rPr>
          <w:rFonts w:ascii="Arial" w:hAnsi="Arial"/>
          <w:szCs w:val="24"/>
        </w:rPr>
        <w:t xml:space="preserve">, tj. zda považují rozsah, zaměření a záběr norem týkajících se preventivní činnosti prováděné v rámci jejich resortu/organizace za postačující. Pokud měli výhrady, uváděli, kde pociťují mezery, nedostatečné pokrytí problematiky, případně kolize mezi normami. Na to navazoval druhý okruh, kdy respondenti identifikovali </w:t>
      </w:r>
      <w:r w:rsidRPr="00107964">
        <w:rPr>
          <w:rFonts w:ascii="Arial" w:hAnsi="Arial"/>
          <w:szCs w:val="24"/>
          <w:u w:val="single"/>
        </w:rPr>
        <w:t>problémy v praxi</w:t>
      </w:r>
      <w:r w:rsidRPr="00107964">
        <w:rPr>
          <w:rFonts w:ascii="Arial" w:hAnsi="Arial"/>
          <w:szCs w:val="24"/>
        </w:rPr>
        <w:t xml:space="preserve">, tzn. potíže při uskutečňování preventivní činnosti, vznikající ve vztahu k některým zákonným normám (např. zákon o sociálních službách, o ochraně osobních údajů, zákon o Policii ČR atd.). Na </w:t>
      </w:r>
      <w:r w:rsidRPr="00107964">
        <w:rPr>
          <w:rFonts w:ascii="Arial" w:hAnsi="Arial"/>
          <w:szCs w:val="24"/>
          <w:u w:val="single"/>
        </w:rPr>
        <w:t>meziresortní kompatibilitu</w:t>
      </w:r>
      <w:r w:rsidRPr="00107964">
        <w:rPr>
          <w:rFonts w:ascii="Arial" w:hAnsi="Arial"/>
          <w:szCs w:val="24"/>
        </w:rPr>
        <w:t xml:space="preserve">, tj. problémy ve vztahu k normám uplatňovaným v jiných resortech, se zaměřil třetí blok. Pokud se nějaké obtíže vyskytly, zajímali jsme se o jejich projevy (např. překryv agend, nejasné vymezení kompetencí, informační bariéry, nenavazující působení na klienty, nedostatečné normativní pokrytí některých oblastí apod.). Otázkou </w:t>
      </w:r>
      <w:r w:rsidRPr="00107964">
        <w:rPr>
          <w:rFonts w:ascii="Arial" w:hAnsi="Arial"/>
          <w:szCs w:val="24"/>
          <w:u w:val="single"/>
        </w:rPr>
        <w:t>evaluace</w:t>
      </w:r>
      <w:r w:rsidRPr="00107964">
        <w:rPr>
          <w:rFonts w:ascii="Arial" w:hAnsi="Arial"/>
          <w:szCs w:val="24"/>
        </w:rPr>
        <w:t xml:space="preserve">, tedy toho, jestli v daném resortu proběhlo či probíhá nějaké vyhodnocování preventivní činnosti a zda je k dispozici nějaký výstup či zpráva, se zabýval poslední okruh. </w:t>
      </w: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708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 xml:space="preserve">Vyjádření více či méně obsáhlá poskytla většina členů RVPPK mimo zástupců Úřadu vlády a Generálního ředitelství Vězeňské služby. Zástupce Soudcovské unie </w:t>
      </w:r>
      <w:r w:rsidRPr="00107964">
        <w:rPr>
          <w:rFonts w:ascii="Arial" w:hAnsi="Arial"/>
          <w:color w:val="002060"/>
          <w:szCs w:val="24"/>
        </w:rPr>
        <w:t xml:space="preserve">konstatoval, že z pohledu </w:t>
      </w:r>
      <w:r w:rsidRPr="00107964">
        <w:rPr>
          <w:rFonts w:ascii="Arial" w:hAnsi="Arial"/>
          <w:szCs w:val="24"/>
        </w:rPr>
        <w:t>trestní justice je ve stávajících předpisech úprava týkající se prevence kriminality zakotvena dostatečným způsobem. Ministerstvo obrany poskytlo stručné vyhodnocení bezpečnostní situace v resortu a prohlašuje, že vojenská policie, jež je významným subjektem resortní prevence, plní stanovené úkoly.</w:t>
      </w: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Komentovaná vyjádření pověřených zástupců jednotlivých resortů a členů Republikového výboru pro prevenci kriminality se v zásadě dělí na tři skupiny:</w:t>
      </w:r>
    </w:p>
    <w:p w:rsidR="008933AD" w:rsidRPr="00107964" w:rsidRDefault="008933AD" w:rsidP="00107964">
      <w:pPr>
        <w:spacing w:after="0" w:line="240" w:lineRule="auto"/>
        <w:ind w:firstLine="357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hd w:val="clear" w:color="auto" w:fill="FFFFFF"/>
        <w:autoSpaceDE w:val="0"/>
        <w:autoSpaceDN w:val="0"/>
        <w:spacing w:after="0" w:line="240" w:lineRule="auto"/>
        <w:ind w:left="360" w:hanging="360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a) Rozsah a podoba norem je považována za dostačující, ačkoli třeba nedefinuje pojem prevence, anebo i když je úprava např. v oblasti vzájemné součinnosti a poskytování informací mezi subjekty zapojenými do prevence kriminality roztříštěná a způsobuje výkladové nejasnosti v praxi.</w:t>
      </w:r>
    </w:p>
    <w:p w:rsidR="008933AD" w:rsidRPr="00107964" w:rsidRDefault="008933AD" w:rsidP="00107964">
      <w:pPr>
        <w:shd w:val="clear" w:color="auto" w:fill="FFFFFF"/>
        <w:autoSpaceDE w:val="0"/>
        <w:autoSpaceDN w:val="0"/>
        <w:spacing w:after="0" w:line="240" w:lineRule="auto"/>
        <w:ind w:left="360" w:hanging="36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     </w:t>
      </w:r>
      <w:r w:rsidRPr="00107964">
        <w:rPr>
          <w:rFonts w:ascii="Arial" w:hAnsi="Arial"/>
          <w:szCs w:val="24"/>
        </w:rPr>
        <w:t xml:space="preserve">(Ministerstvo spravedlnosti, Soudcovská unie, Probační a mediační služba, Vězeňská služba) </w:t>
      </w:r>
    </w:p>
    <w:p w:rsidR="008933AD" w:rsidRPr="00107964" w:rsidRDefault="008933AD" w:rsidP="00107964">
      <w:pPr>
        <w:shd w:val="clear" w:color="auto" w:fill="FFFFFF"/>
        <w:autoSpaceDE w:val="0"/>
        <w:autoSpaceDN w:val="0"/>
        <w:spacing w:after="0" w:line="240" w:lineRule="auto"/>
        <w:ind w:left="360" w:hanging="36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     </w:t>
      </w:r>
      <w:r w:rsidRPr="00107964">
        <w:rPr>
          <w:rFonts w:ascii="Arial" w:hAnsi="Arial"/>
          <w:szCs w:val="24"/>
        </w:rPr>
        <w:t xml:space="preserve">Většina preventivních aktivit nevyžaduje zákonnou úpravu, systém funguje, dosavadní pokusy byly odmítnuty jako nadbytečné. </w:t>
      </w:r>
    </w:p>
    <w:p w:rsidR="008933AD" w:rsidRPr="00107964" w:rsidRDefault="008933AD" w:rsidP="00107964">
      <w:pPr>
        <w:shd w:val="clear" w:color="auto" w:fill="FFFFFF"/>
        <w:autoSpaceDE w:val="0"/>
        <w:autoSpaceDN w:val="0"/>
        <w:spacing w:after="0" w:line="240" w:lineRule="auto"/>
        <w:ind w:left="360" w:hanging="36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     </w:t>
      </w:r>
      <w:r w:rsidRPr="00107964">
        <w:rPr>
          <w:rFonts w:ascii="Arial" w:hAnsi="Arial"/>
          <w:szCs w:val="24"/>
        </w:rPr>
        <w:t>(OBP MV, odbor azylové a migrační politiky MV)</w:t>
      </w:r>
    </w:p>
    <w:p w:rsidR="008933AD" w:rsidRPr="00107964" w:rsidRDefault="008933AD" w:rsidP="00107964">
      <w:pPr>
        <w:spacing w:after="0" w:line="240" w:lineRule="auto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left="360" w:hanging="360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lastRenderedPageBreak/>
        <w:t>b) Existuje potřeba jednoznačné zákonné úpravy systému prevence, i když většinu požadavků lze nejspíše řešit v rámci stávajících právních předpisů a zejména ve vládních či resortních strategických materiálech.</w:t>
      </w:r>
    </w:p>
    <w:p w:rsidR="008933AD" w:rsidRPr="00107964" w:rsidRDefault="008933AD" w:rsidP="00107964">
      <w:pPr>
        <w:spacing w:after="0" w:line="240" w:lineRule="auto"/>
        <w:ind w:left="360" w:hanging="36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     </w:t>
      </w:r>
      <w:r w:rsidRPr="00107964">
        <w:rPr>
          <w:rFonts w:ascii="Arial" w:hAnsi="Arial"/>
          <w:szCs w:val="24"/>
        </w:rPr>
        <w:t>(Policie ČR)</w:t>
      </w:r>
    </w:p>
    <w:p w:rsidR="008933AD" w:rsidRPr="00107964" w:rsidRDefault="008933AD" w:rsidP="00107964">
      <w:pPr>
        <w:spacing w:after="0"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      </w:t>
      </w:r>
      <w:r w:rsidRPr="00107964">
        <w:rPr>
          <w:rFonts w:ascii="Arial" w:hAnsi="Arial"/>
          <w:szCs w:val="24"/>
        </w:rPr>
        <w:t>Dílčí novely devalvují právní předpisy (NCSS, o. p. s).</w:t>
      </w:r>
    </w:p>
    <w:p w:rsidR="008933AD" w:rsidRPr="00107964" w:rsidRDefault="008933AD" w:rsidP="00107964">
      <w:pPr>
        <w:spacing w:after="0" w:line="240" w:lineRule="auto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left="360" w:hanging="360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c) Potřebné legislativní změny by bylo vhodné provést dílčími novelizacemi stávajících právních předpisů.</w:t>
      </w:r>
    </w:p>
    <w:p w:rsidR="008933AD" w:rsidRDefault="008933AD" w:rsidP="00107964">
      <w:pPr>
        <w:spacing w:after="0" w:line="240" w:lineRule="auto"/>
        <w:ind w:left="360" w:hanging="36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     </w:t>
      </w:r>
      <w:r w:rsidRPr="00107964">
        <w:rPr>
          <w:rFonts w:ascii="Arial" w:hAnsi="Arial"/>
          <w:szCs w:val="24"/>
        </w:rPr>
        <w:t>(Ministerstvo školství, mládeže a tělovýchovy, Ministerstvo zdravotnictví, Ministerstvo práce a sociálních věcí, Ministerstvo financí, odbor prevence kriminality Ministerstva vnitra, odbor bezpečnostního výzkumu a policejního vzdělávání Ministerstva vnitra, Hasičský záchranný sbor ČR, Policejní prezídium ČR, Nejvyšší státní zastupitelství)</w:t>
      </w:r>
    </w:p>
    <w:p w:rsidR="008933AD" w:rsidRPr="00107964" w:rsidRDefault="008933AD" w:rsidP="00107964">
      <w:pPr>
        <w:spacing w:after="0" w:line="240" w:lineRule="auto"/>
        <w:ind w:left="360" w:hanging="360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Jedná se o novelizace těchto předpisů v platném znění:</w:t>
      </w:r>
    </w:p>
    <w:p w:rsidR="008933AD" w:rsidRPr="00107964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2/1969 Sb., o zřízení ministerstev a jiných ústředních orgánů státní správy České republiky (tzv. kompetenční zákon)</w:t>
      </w:r>
    </w:p>
    <w:p w:rsidR="008933AD" w:rsidRPr="00107964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128/2000 Sb., o obcích, zákon č. 129/2000 Sb., o krajích a zákon č. 131/2000 Sb., o hlavním městě Praze</w:t>
      </w:r>
    </w:p>
    <w:p w:rsidR="008933AD" w:rsidRPr="00107964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553/1991 Sb., o obecní policii</w:t>
      </w:r>
    </w:p>
    <w:p w:rsidR="008933AD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273/2008 Sb., o Policii České republiky</w:t>
      </w:r>
    </w:p>
    <w:p w:rsidR="008933AD" w:rsidRPr="00107964" w:rsidRDefault="008933AD" w:rsidP="00107964">
      <w:pPr>
        <w:pStyle w:val="Odstavecseseznamem"/>
        <w:spacing w:after="0" w:line="240" w:lineRule="auto"/>
        <w:ind w:left="360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360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 xml:space="preserve">Tyto první čtyři odrážky uvádějí právní předpisy, jejichž úpravy a plánovaná zakotvení určitých institutů jsou blíže rozpracovány v materiálu Odboru prevence kriminality Ministerstva vnitra ČR Souhrn námětů legislativních úprav. Další návrhy vycházejí z konkrétních potřeb a podkladů ostatních ministerstev. </w:t>
      </w:r>
    </w:p>
    <w:p w:rsidR="008933AD" w:rsidRPr="00107964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108/2006 Sb., o sociálních službách</w:t>
      </w:r>
    </w:p>
    <w:p w:rsidR="008933AD" w:rsidRPr="00107964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359/1999 Sb., o sociálně právní ochraně dětí, zákon č. 372/2011 Sb., o zdravotních službách</w:t>
      </w:r>
    </w:p>
    <w:p w:rsidR="008933AD" w:rsidRPr="00107964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379/2005 Sb., o opatřeních k ochraně před škodami působenými tabákovými výrobky, alkoholem a jinými návykovými látkami</w:t>
      </w:r>
    </w:p>
    <w:p w:rsidR="008933AD" w:rsidRPr="00107964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253/2008 Sb., o některých opatřeních proti legalizaci výnosů z trestné činnosti a financování terorismu</w:t>
      </w:r>
    </w:p>
    <w:p w:rsidR="008933AD" w:rsidRPr="00107964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202/1990 Sb., o loteriích a jiných podobných hrách</w:t>
      </w:r>
    </w:p>
    <w:p w:rsidR="008933AD" w:rsidRDefault="008933AD" w:rsidP="00107964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zákon č. 239/200 Sb., o integrovaném záchranném systému, zákon č. 133/1985 Sb., o požární ochraně</w:t>
      </w:r>
    </w:p>
    <w:p w:rsidR="008933AD" w:rsidRPr="00107964" w:rsidRDefault="008933AD" w:rsidP="00107964">
      <w:pPr>
        <w:pStyle w:val="Odstavecseseznamem"/>
        <w:spacing w:after="0" w:line="240" w:lineRule="auto"/>
        <w:ind w:left="360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 xml:space="preserve">Dále by k řešení situace mohly přispět návrhy předpisů jako je zákon o sociálních pracovnících a zákon o primární prevenci ve školách a školských zařízeních a již připravená </w:t>
      </w:r>
      <w:r w:rsidRPr="00107964">
        <w:rPr>
          <w:rFonts w:ascii="Arial" w:hAnsi="Arial"/>
          <w:bCs/>
          <w:szCs w:val="24"/>
        </w:rPr>
        <w:t xml:space="preserve">novela nařízení vlády č. 75/2005 Sb. o stanovení rozsahu přímé vyučovací, přímé výchovné, přímé speciálně pedagogické a přímé pedagogicko-psychologické činnosti pedagogických pracovníků. Též je doporučováno zařazení </w:t>
      </w:r>
      <w:r w:rsidRPr="00107964">
        <w:rPr>
          <w:rFonts w:ascii="Arial" w:hAnsi="Arial"/>
        </w:rPr>
        <w:t xml:space="preserve">Nejvyššího státního </w:t>
      </w:r>
      <w:r w:rsidRPr="00107964">
        <w:rPr>
          <w:rFonts w:ascii="Arial" w:hAnsi="Arial"/>
          <w:szCs w:val="24"/>
        </w:rPr>
        <w:t xml:space="preserve">zastupitelství mezi tzv. povinná připomínková místa dle Legislativních pravidel vlády. </w:t>
      </w: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Obecněji lze k výsledkům shromážděným v průběhu analýzy a k jejich vyhodnocení uvést, že v zásadě vykrystalizovala dvě stanoviska. První z nich je ve vztahu k jakýmkoli dalším zákonným úpravám preventivních aktivit jednoznačně negativní a vychází především z formálního legislativního pohledu na danou problematiku. Jako základní argumenty pro toto stanovisko je uváděna nadbytečnost dalších norem a nepřípustné zasahování státu do kompetence obcí. Upozorňuje se též na nevyjasněnost pojmu prevence, předpokládaný formální a deklaratorní charakter a nevymahatelnost potenciálního zákona (lex specialis) o prevenci.</w:t>
      </w: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 xml:space="preserve">Druhé stanovisko vychází spíše z praktických potřeb realizace prevence, upozorňuje na problémy a nevyjasněné oblasti, které ztěžují její provádění a kloní se k přijetí konkrétních legislativních úprav reagujících na tyto problémové oblasti. Požadavek přijetí samostatného zákona o prevenci je v menšině, ale řada subjektů zapojených do diskuse a analýzy </w:t>
      </w:r>
      <w:r w:rsidRPr="00107964">
        <w:rPr>
          <w:rFonts w:ascii="Arial" w:hAnsi="Arial"/>
          <w:szCs w:val="24"/>
        </w:rPr>
        <w:lastRenderedPageBreak/>
        <w:t>připouští, případně doporučuje a navrhuje úpravy existujících norem vztahujících se k realizaci prevence.</w:t>
      </w:r>
    </w:p>
    <w:p w:rsidR="008933AD" w:rsidRPr="00107964" w:rsidRDefault="008933AD" w:rsidP="00107964">
      <w:pPr>
        <w:spacing w:after="0" w:line="240" w:lineRule="auto"/>
        <w:ind w:firstLine="708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708"/>
        <w:jc w:val="both"/>
        <w:rPr>
          <w:rFonts w:ascii="Arial" w:hAnsi="Arial"/>
          <w:b/>
          <w:szCs w:val="24"/>
        </w:rPr>
      </w:pPr>
      <w:r w:rsidRPr="00107964">
        <w:rPr>
          <w:rFonts w:ascii="Arial" w:hAnsi="Arial"/>
          <w:b/>
          <w:szCs w:val="24"/>
        </w:rPr>
        <w:t>III. Odborná diskuse</w:t>
      </w:r>
    </w:p>
    <w:p w:rsidR="008933AD" w:rsidRPr="00107964" w:rsidRDefault="008933AD" w:rsidP="00107964">
      <w:pPr>
        <w:spacing w:after="0" w:line="240" w:lineRule="auto"/>
        <w:ind w:firstLine="708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V lednu 2014 následovala panelová diskuse k tématu - zda vůbec a v jaké oblasti jsou legislativní úpravy žádané, a zda lze tuto potřebu řešit úpravou či doplněním stávajících právních předpisů (včetně podzákonných norem), nebo je vhodné připravit normu samostatnou. K odborné diskusi byli pozváni kromě poskytovatelů materiálů a členů RVPPK např. zástupci Svazu měst a obcí, vybraní manažeři prevence či zástupci Městské policie.</w:t>
      </w:r>
    </w:p>
    <w:p w:rsidR="008933AD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Diskuse a vyjádření jednotlivých subjektů prevence ukázaly, že problémy existují. Byly vzneseny připomínky k současnému stavu, poukazující na nepostačující právní rámec uskutečňování prevence, které nelze přehlížet či prohlásit za nepodstatné. Jsou významné tím spíše, že se jedná o připomínky praxe, které nelze negovat pouze z formálních hledisek. Proto je třeba hledat jejich řešení, směřující právě k systémovému zabezpečení výše uvedených předpokladů pro efektivní výkon preventivních aktivit.</w:t>
      </w: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Legislativní rámec by měl zabezpečovat několik předpokladů, které jsou pro fungování a efektivitu prevence nezbytné. Mezi nimi lze uvést:</w:t>
      </w:r>
    </w:p>
    <w:p w:rsidR="008933AD" w:rsidRPr="00107964" w:rsidRDefault="008933AD" w:rsidP="00107964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stanovení struktury, součinnosti, odpovědnosti a kompetencí orgánů realizujících prevenci (např. pozice manažera prevence)</w:t>
      </w:r>
    </w:p>
    <w:p w:rsidR="008933AD" w:rsidRPr="00107964" w:rsidRDefault="008933AD" w:rsidP="00107964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stabilizaci financování</w:t>
      </w:r>
    </w:p>
    <w:p w:rsidR="008933AD" w:rsidRPr="00107964" w:rsidRDefault="008933AD" w:rsidP="00107964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kontinuitu preventivní práce a její nezávislost na variabilitě politické reprezentace,</w:t>
      </w:r>
    </w:p>
    <w:p w:rsidR="008933AD" w:rsidRDefault="008933AD" w:rsidP="00107964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předávání a sdílení dat se zajištěním jejich ochrany</w:t>
      </w:r>
    </w:p>
    <w:p w:rsidR="008933AD" w:rsidRPr="00107964" w:rsidRDefault="008933AD" w:rsidP="00107964">
      <w:pPr>
        <w:pStyle w:val="Odstavecseseznamem"/>
        <w:spacing w:after="0" w:line="240" w:lineRule="auto"/>
        <w:ind w:left="899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 xml:space="preserve">Z podnětů plyne též nezbytnost vytvořit či respektovat určitě „dělení“ preventivních aktivit. Těžištěm se jeví prevence sociálně patologických jevů, zejména tedy kriminality, s níž je logicky úzce spjata prevence sociální. Předmětem zájmu proto je v souladu se Strategií prevence především prevence obecné kriminality se speciálním důrazem na kriminalitu mládeže a viktimologickou prevenci a dále prevence kriminogenních faktorů (např. užívání a distribuce drog včetně alkoholu, gamblerství, prostituce, graffiti a vandalismus, výtržnictví, destrukce rodinných vazeb, záškoláctví aj.). Tedy nikoliv prevence specifických závažných forem trestné činnosti jako je organizovaná kriminalita, ekonomická a finanční kriminalita či korupce - to jsou formy kriminality, které vyžadují specifická preventivní opatření. A též není vhodné sem pro tyto účely zahrnovat prevenci úrazů, dopravních nehod, požární prevenci apod., kdy při předcházení těmto jevům také vycházíme ze speciálního normativního rámce. </w:t>
      </w: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Z dosud uskutečněných aktivit vyplývá, že se přístup zainteresovaných subjektů k potřebnosti právní úpravy prevence kriminality vyvíjí, a též to, že speciální</w:t>
      </w:r>
      <w:r w:rsidR="00DE51EA">
        <w:rPr>
          <w:rFonts w:ascii="Arial" w:hAnsi="Arial"/>
          <w:szCs w:val="24"/>
        </w:rPr>
        <w:t xml:space="preserve"> slovenský zákon č. 583/20</w:t>
      </w:r>
      <w:r w:rsidR="002D4A39">
        <w:rPr>
          <w:rFonts w:ascii="Arial" w:hAnsi="Arial"/>
          <w:szCs w:val="24"/>
        </w:rPr>
        <w:t xml:space="preserve">08 Z.z.,o prevencii kriminality </w:t>
      </w:r>
      <w:bookmarkStart w:id="0" w:name="_GoBack"/>
      <w:bookmarkEnd w:id="0"/>
      <w:r w:rsidRPr="00107964">
        <w:rPr>
          <w:rFonts w:ascii="Arial" w:hAnsi="Arial"/>
          <w:szCs w:val="24"/>
        </w:rPr>
        <w:t>a i</w:t>
      </w:r>
      <w:r w:rsidR="00DE51EA">
        <w:rPr>
          <w:rFonts w:ascii="Arial" w:hAnsi="Arial"/>
          <w:szCs w:val="24"/>
        </w:rPr>
        <w:t xml:space="preserve">nej protispoločenskej činnosti, </w:t>
      </w:r>
      <w:r w:rsidRPr="00107964">
        <w:rPr>
          <w:rFonts w:ascii="Arial" w:hAnsi="Arial"/>
          <w:szCs w:val="24"/>
        </w:rPr>
        <w:t xml:space="preserve">nebude pravděpodobně pro Českou republiku inspirací, neboť v oblasti prevence kriminality nepřináší očekávané efekty zejména z důvodu vykazovaného formálního charakteru. </w:t>
      </w:r>
    </w:p>
    <w:p w:rsidR="008933AD" w:rsidRPr="00107964" w:rsidRDefault="008933AD" w:rsidP="00107964">
      <w:pPr>
        <w:spacing w:after="0" w:line="240" w:lineRule="auto"/>
        <w:ind w:firstLine="567"/>
        <w:jc w:val="both"/>
        <w:rPr>
          <w:rFonts w:ascii="Arial" w:hAnsi="Arial"/>
          <w:szCs w:val="24"/>
        </w:rPr>
      </w:pPr>
      <w:r w:rsidRPr="00107964">
        <w:rPr>
          <w:rFonts w:ascii="Arial" w:hAnsi="Arial"/>
          <w:szCs w:val="24"/>
        </w:rPr>
        <w:t>V současné chvíli se jeví jako nejvhodnější varianta pro systémové zabezpečení prevence kriminality verze, jež se kloní k modifikaci (doplnění) stávajících norem. Zakotvení institutů, uváděných v Souhrnu námětů legislativních úprav by mělo vést k posílení postavení a činnosti vykonavatelů preventivních aktivit. Neměly by se pominout ani příklady dobré a fungující praxe (SVI, týmy pro mládež).</w:t>
      </w:r>
    </w:p>
    <w:p w:rsidR="008933AD" w:rsidRPr="00107964" w:rsidRDefault="008933AD" w:rsidP="00107964">
      <w:pPr>
        <w:spacing w:after="0" w:line="240" w:lineRule="auto"/>
        <w:ind w:firstLine="357"/>
        <w:jc w:val="both"/>
        <w:rPr>
          <w:rFonts w:ascii="Arial" w:hAnsi="Arial"/>
          <w:szCs w:val="24"/>
        </w:rPr>
      </w:pPr>
    </w:p>
    <w:p w:rsidR="008933AD" w:rsidRPr="00107964" w:rsidRDefault="008933AD" w:rsidP="00107964">
      <w:pPr>
        <w:spacing w:after="0" w:line="240" w:lineRule="auto"/>
        <w:ind w:firstLine="357"/>
        <w:jc w:val="both"/>
        <w:rPr>
          <w:rFonts w:ascii="Arial" w:hAnsi="Arial"/>
          <w:szCs w:val="24"/>
        </w:rPr>
      </w:pPr>
    </w:p>
    <w:sectPr w:rsidR="008933AD" w:rsidRPr="00107964" w:rsidSect="000F69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4FA" w:rsidRDefault="00AE34FA" w:rsidP="005B0412">
      <w:pPr>
        <w:spacing w:after="0" w:line="240" w:lineRule="auto"/>
      </w:pPr>
      <w:r>
        <w:separator/>
      </w:r>
    </w:p>
  </w:endnote>
  <w:endnote w:type="continuationSeparator" w:id="0">
    <w:p w:rsidR="00AE34FA" w:rsidRDefault="00AE34FA" w:rsidP="005B0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AD" w:rsidRDefault="008933A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AD" w:rsidRDefault="008933A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AD" w:rsidRDefault="008933A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4FA" w:rsidRDefault="00AE34FA" w:rsidP="005B0412">
      <w:pPr>
        <w:spacing w:after="0" w:line="240" w:lineRule="auto"/>
      </w:pPr>
      <w:r>
        <w:separator/>
      </w:r>
    </w:p>
  </w:footnote>
  <w:footnote w:type="continuationSeparator" w:id="0">
    <w:p w:rsidR="00AE34FA" w:rsidRDefault="00AE34FA" w:rsidP="005B0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AD" w:rsidRDefault="008933A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AD" w:rsidRDefault="00F80BC8">
    <w:pPr>
      <w:pStyle w:val="Zhlav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D4A39">
      <w:rPr>
        <w:noProof/>
      </w:rPr>
      <w:t>3</w:t>
    </w:r>
    <w:r>
      <w:rPr>
        <w:noProof/>
      </w:rPr>
      <w:fldChar w:fldCharType="end"/>
    </w:r>
  </w:p>
  <w:p w:rsidR="008933AD" w:rsidRDefault="008933A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AD" w:rsidRDefault="008933A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80084"/>
    <w:multiLevelType w:val="hybridMultilevel"/>
    <w:tmpl w:val="CD3035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920458"/>
    <w:multiLevelType w:val="hybridMultilevel"/>
    <w:tmpl w:val="ABF8EFB8"/>
    <w:lvl w:ilvl="0" w:tplc="1C681200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D4C20AA"/>
    <w:multiLevelType w:val="hybridMultilevel"/>
    <w:tmpl w:val="A694ECF8"/>
    <w:lvl w:ilvl="0" w:tplc="EC644A9E">
      <w:start w:val="1"/>
      <w:numFmt w:val="bullet"/>
      <w:lvlText w:val=""/>
      <w:lvlJc w:val="left"/>
      <w:pPr>
        <w:tabs>
          <w:tab w:val="num" w:pos="643"/>
        </w:tabs>
        <w:ind w:left="643" w:hanging="283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0E007C"/>
    <w:multiLevelType w:val="hybridMultilevel"/>
    <w:tmpl w:val="8116BA78"/>
    <w:lvl w:ilvl="0" w:tplc="040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>
    <w:nsid w:val="608A56F8"/>
    <w:multiLevelType w:val="hybridMultilevel"/>
    <w:tmpl w:val="41DAB8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A085C84"/>
    <w:multiLevelType w:val="hybridMultilevel"/>
    <w:tmpl w:val="AFA4A666"/>
    <w:lvl w:ilvl="0" w:tplc="04C0745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0BB2"/>
    <w:rsid w:val="00050C05"/>
    <w:rsid w:val="000913BB"/>
    <w:rsid w:val="000D0203"/>
    <w:rsid w:val="000D24AF"/>
    <w:rsid w:val="000F692E"/>
    <w:rsid w:val="00100B65"/>
    <w:rsid w:val="00107964"/>
    <w:rsid w:val="00114813"/>
    <w:rsid w:val="00127054"/>
    <w:rsid w:val="00147359"/>
    <w:rsid w:val="00163C00"/>
    <w:rsid w:val="00187052"/>
    <w:rsid w:val="001967E6"/>
    <w:rsid w:val="001A0D55"/>
    <w:rsid w:val="0022773C"/>
    <w:rsid w:val="002718D0"/>
    <w:rsid w:val="00292E9D"/>
    <w:rsid w:val="002A04D2"/>
    <w:rsid w:val="002D2AF4"/>
    <w:rsid w:val="002D4A39"/>
    <w:rsid w:val="00311B4B"/>
    <w:rsid w:val="003540BD"/>
    <w:rsid w:val="003C7DE8"/>
    <w:rsid w:val="003D3F81"/>
    <w:rsid w:val="003E7BF5"/>
    <w:rsid w:val="00400303"/>
    <w:rsid w:val="0043274A"/>
    <w:rsid w:val="004B44D8"/>
    <w:rsid w:val="004D49E5"/>
    <w:rsid w:val="0053014D"/>
    <w:rsid w:val="00546719"/>
    <w:rsid w:val="005A0A58"/>
    <w:rsid w:val="005A75C7"/>
    <w:rsid w:val="005B0412"/>
    <w:rsid w:val="005D7A36"/>
    <w:rsid w:val="00626E9C"/>
    <w:rsid w:val="00647DD9"/>
    <w:rsid w:val="006A1AA7"/>
    <w:rsid w:val="006A5899"/>
    <w:rsid w:val="006D556A"/>
    <w:rsid w:val="007253D8"/>
    <w:rsid w:val="00761174"/>
    <w:rsid w:val="007B5B4A"/>
    <w:rsid w:val="00866D8D"/>
    <w:rsid w:val="00882334"/>
    <w:rsid w:val="008933AD"/>
    <w:rsid w:val="0097627B"/>
    <w:rsid w:val="009824B6"/>
    <w:rsid w:val="009A3330"/>
    <w:rsid w:val="009B64A0"/>
    <w:rsid w:val="00A10B42"/>
    <w:rsid w:val="00A30BB2"/>
    <w:rsid w:val="00A37EDC"/>
    <w:rsid w:val="00A66A52"/>
    <w:rsid w:val="00A963ED"/>
    <w:rsid w:val="00AC24F5"/>
    <w:rsid w:val="00AE34FA"/>
    <w:rsid w:val="00B066A0"/>
    <w:rsid w:val="00B424EB"/>
    <w:rsid w:val="00B60B40"/>
    <w:rsid w:val="00BF7245"/>
    <w:rsid w:val="00C467C9"/>
    <w:rsid w:val="00C77342"/>
    <w:rsid w:val="00CC58E0"/>
    <w:rsid w:val="00D15870"/>
    <w:rsid w:val="00D24730"/>
    <w:rsid w:val="00D90B0B"/>
    <w:rsid w:val="00DE51EA"/>
    <w:rsid w:val="00E02B5F"/>
    <w:rsid w:val="00E726F7"/>
    <w:rsid w:val="00EA2979"/>
    <w:rsid w:val="00F70CB0"/>
    <w:rsid w:val="00F80BC8"/>
    <w:rsid w:val="00FB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0BB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30BB2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2718D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2718D0"/>
    <w:rPr>
      <w:rFonts w:ascii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5B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5B0412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5B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semiHidden/>
    <w:locked/>
    <w:rsid w:val="005B0412"/>
    <w:rPr>
      <w:rFonts w:cs="Times New Roman"/>
    </w:rPr>
  </w:style>
  <w:style w:type="character" w:styleId="Znakapoznpodarou">
    <w:name w:val="footnote reference"/>
    <w:uiPriority w:val="99"/>
    <w:semiHidden/>
    <w:rsid w:val="00114813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1525</Words>
  <Characters>9003</Characters>
  <Application>Microsoft Office Word</Application>
  <DocSecurity>0</DocSecurity>
  <Lines>75</Lines>
  <Paragraphs>21</Paragraphs>
  <ScaleCrop>false</ScaleCrop>
  <Company/>
  <LinksUpToDate>false</LinksUpToDate>
  <CharactersWithSpaces>10507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Analýza potřebnosti legislativní úpravy prevence kriminality</dc:title>
  <dc:subject/>
  <dc:creator>Diblíková Simona JUDr.</dc:creator>
  <cp:keywords/>
  <dc:description/>
  <cp:lastModifiedBy>MVCR</cp:lastModifiedBy>
  <cp:revision>5</cp:revision>
  <dcterms:created xsi:type="dcterms:W3CDTF">2014-05-28T06:50:00Z</dcterms:created>
  <dcterms:modified xsi:type="dcterms:W3CDTF">2014-06-17T08:14:00Z</dcterms:modified>
</cp:coreProperties>
</file>