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6D66" w:rsidRPr="002E6D04" w:rsidRDefault="00486D66" w:rsidP="002E6D04">
      <w:pPr>
        <w:spacing w:line="240" w:lineRule="auto"/>
        <w:jc w:val="left"/>
        <w:rPr>
          <w:rFonts w:ascii="Calibri" w:hAnsi="Calibri" w:cs="Calibri"/>
          <w:b/>
          <w:bCs/>
          <w:iCs/>
          <w:sz w:val="28"/>
          <w:szCs w:val="28"/>
        </w:rPr>
      </w:pPr>
    </w:p>
    <w:p w:rsidR="00486D66" w:rsidRDefault="00486D66" w:rsidP="002E6D04">
      <w:pPr>
        <w:spacing w:line="240" w:lineRule="auto"/>
        <w:jc w:val="left"/>
        <w:rPr>
          <w:rFonts w:ascii="Arial" w:hAnsi="Arial" w:cs="Calibri"/>
          <w:b/>
          <w:sz w:val="28"/>
          <w:szCs w:val="28"/>
        </w:rPr>
      </w:pPr>
      <w:r w:rsidRPr="002E6D04">
        <w:rPr>
          <w:rFonts w:ascii="Arial" w:hAnsi="Arial" w:cs="Calibri"/>
          <w:b/>
          <w:sz w:val="28"/>
          <w:szCs w:val="28"/>
        </w:rPr>
        <w:t xml:space="preserve">Současná situace v oblasti extremistických hnutí v ČR </w:t>
      </w:r>
    </w:p>
    <w:p w:rsidR="00486D66" w:rsidRPr="002E6D04" w:rsidRDefault="00486D66" w:rsidP="002E6D04">
      <w:pPr>
        <w:spacing w:after="120" w:line="240" w:lineRule="auto"/>
        <w:jc w:val="left"/>
        <w:rPr>
          <w:rFonts w:ascii="Arial" w:hAnsi="Arial" w:cs="Calibri"/>
          <w:b/>
          <w:sz w:val="28"/>
          <w:szCs w:val="28"/>
        </w:rPr>
      </w:pPr>
      <w:r w:rsidRPr="002E6D04">
        <w:rPr>
          <w:rFonts w:ascii="Arial" w:hAnsi="Arial" w:cs="Calibri"/>
          <w:b/>
          <w:sz w:val="28"/>
          <w:szCs w:val="28"/>
        </w:rPr>
        <w:t>s důrazem na jejich potenciální podporu u mladistvých a na šíření extremistických ideologických obsahů po Internetu.</w:t>
      </w:r>
    </w:p>
    <w:p w:rsidR="00486D66" w:rsidRPr="002E6D04" w:rsidRDefault="00486D66" w:rsidP="000F2CA2">
      <w:pPr>
        <w:spacing w:line="240" w:lineRule="auto"/>
        <w:jc w:val="left"/>
        <w:rPr>
          <w:rFonts w:ascii="Arial" w:hAnsi="Arial" w:cs="Calibri"/>
          <w:b/>
          <w:bCs/>
          <w:iCs/>
        </w:rPr>
      </w:pPr>
      <w:r w:rsidRPr="002E6D04">
        <w:rPr>
          <w:rFonts w:ascii="Arial" w:hAnsi="Arial" w:cs="Calibri"/>
          <w:b/>
          <w:bCs/>
          <w:iCs/>
        </w:rPr>
        <w:t>Mgr. Jakub Holas</w:t>
      </w:r>
      <w:r>
        <w:rPr>
          <w:rFonts w:ascii="Arial" w:hAnsi="Arial" w:cs="Calibri"/>
          <w:b/>
          <w:bCs/>
          <w:iCs/>
        </w:rPr>
        <w:t xml:space="preserve">, </w:t>
      </w:r>
      <w:r w:rsidRPr="002E6D04">
        <w:rPr>
          <w:rFonts w:ascii="Arial" w:hAnsi="Arial" w:cs="Calibri"/>
          <w:b/>
          <w:bCs/>
          <w:iCs/>
        </w:rPr>
        <w:t>Institut pro kriminologii a sociální prevenci.</w:t>
      </w:r>
    </w:p>
    <w:p w:rsidR="00486D66" w:rsidRPr="002E6D04" w:rsidRDefault="00486D66" w:rsidP="000F2CA2">
      <w:pPr>
        <w:spacing w:line="240" w:lineRule="auto"/>
        <w:rPr>
          <w:rFonts w:ascii="Arial" w:hAnsi="Arial" w:cs="Calibri"/>
          <w:bCs/>
          <w:iCs/>
        </w:rPr>
      </w:pPr>
    </w:p>
    <w:p w:rsidR="00486D66" w:rsidRPr="002E6D04" w:rsidRDefault="00486D66" w:rsidP="000F2CA2">
      <w:pPr>
        <w:spacing w:after="120" w:line="240" w:lineRule="auto"/>
        <w:rPr>
          <w:rFonts w:ascii="Arial" w:hAnsi="Arial" w:cs="Calibri"/>
          <w:bCs/>
          <w:iCs/>
        </w:rPr>
      </w:pPr>
      <w:r w:rsidRPr="002E6D04">
        <w:rPr>
          <w:rFonts w:ascii="Arial" w:hAnsi="Arial" w:cs="Calibri"/>
          <w:bCs/>
          <w:iCs/>
        </w:rPr>
        <w:t>V roce 1989 došlo v České republice, stejně jako v dalších zemích střední a východní Evropy, k zásadní změně politického systému. V nové situaci se začaly objevovat a prosazovat politické subjekty, které těžily z frustrace některých částí obyvatelstva a populisticky zneužívaly především otázku romské etnické menšiny v České republice. Rychle se také objevovaly nové subkultury – kromě punkerů, kteří zde již existovali v komunistické éře, rychle rostly počty především skinheadů. Čeští skins v drtivé většině zaujali ultrapravicové postoje a začali útočit především proti punkerům, Romům a dalším vizuálně odlišným menšinám. Některé z těchto útoků končily vážnými zraněními nebo i smrtí obětí. Jako protiváha se začaly formovat i skupiny militantních anarchistů a polovina devadesátých let byla ve znamení častých srážek těchto uskupení. Především příslušnost ke skinheads se stala v některých vrstvách mládeže téměř módním fenoménem a nárůst počtu „holých lebek“ zpětně posiloval jejich sebedůvěru a agresivitu.</w:t>
      </w:r>
    </w:p>
    <w:p w:rsidR="00486D66" w:rsidRPr="002E6D04" w:rsidRDefault="00486D66" w:rsidP="000F2CA2">
      <w:pPr>
        <w:spacing w:after="120" w:line="240" w:lineRule="auto"/>
        <w:rPr>
          <w:rFonts w:ascii="Arial" w:hAnsi="Arial" w:cs="Calibri"/>
          <w:bCs/>
          <w:iCs/>
        </w:rPr>
      </w:pPr>
      <w:r w:rsidRPr="002E6D04">
        <w:rPr>
          <w:rFonts w:ascii="Arial" w:hAnsi="Arial" w:cs="Calibri"/>
          <w:bCs/>
          <w:iCs/>
        </w:rPr>
        <w:t>V této situaci byl roku 1995 v Institutu pro kriminologii a sociální prevenci v Praze spuštěn rozsáhlý výzkumný projekt, mapující tuto nově vzniklou scénu, pro niž se nově začal užívat (později značně zprofanovaný) termín extremistická. Výzkum, prováděný dvoučlenným týmem, používal celou řadu výzkumných metod. Probíhala polostrukturovaná interview s představiteli radikálně laděných uskupení (z obou stran názorového spektra), zúčastněná pozorování na pouličních demonstracích, pochodech a mítincích, byly shromažďovány a následně analyzovány tiskoviny, vydávané sympatizanty radikálních subkultur. Kontaktováni byli rovněž policisté z tehdy nově vznikajících specializovaných útvarů pro boj s extremismem a v jejich řadách proběhlo expertní šetření.</w:t>
      </w:r>
    </w:p>
    <w:p w:rsidR="00486D66" w:rsidRPr="002E6D04" w:rsidRDefault="00486D66" w:rsidP="002E6D04">
      <w:pPr>
        <w:spacing w:after="120" w:line="240" w:lineRule="auto"/>
        <w:rPr>
          <w:rFonts w:ascii="Arial" w:hAnsi="Arial" w:cs="Calibri"/>
          <w:bCs/>
          <w:iCs/>
        </w:rPr>
      </w:pPr>
      <w:r w:rsidRPr="002E6D04">
        <w:rPr>
          <w:rFonts w:ascii="Arial" w:hAnsi="Arial" w:cs="Calibri"/>
          <w:bCs/>
          <w:iCs/>
        </w:rPr>
        <w:t>Hlavním pilířem celé akce však byl reprezentativní výzkum mládeže ve věku kolem 16 – 17 let. Zjišťovány měly být především takové názory, které mohly znamenat podporu některého z extrémních politických hnutí. Dále pak znalost podobných hnutí a to, jak tato hnutí mládež hodnotí. Jinými slovy, jak silná je skupina sympatizantů a potenciálních členů. Výsledky výzkumné akce, včetně dotazníkového šetření, se staly základem publikace Extremismus mládeže v ČR (vyšla v edici IKSP v roce 1996), která byla zřejmě první odbornou prací na toto téma v České republice. Poznatky z výzkumu byly následně využívány při vytváření prvních výukových materiálů pro učitele, sociální pracovníky, policisty a pracovníky v justici. Členové výzkumného týmu se také intenzivně podíleli na školení specialistů pro zacházení s mladými politickými extremisty.</w:t>
      </w:r>
    </w:p>
    <w:p w:rsidR="00486D66" w:rsidRPr="002E6D04" w:rsidRDefault="00486D66" w:rsidP="002E6D04">
      <w:pPr>
        <w:spacing w:after="120" w:line="240" w:lineRule="auto"/>
        <w:rPr>
          <w:rFonts w:ascii="Arial" w:hAnsi="Arial" w:cs="Calibri"/>
          <w:bCs/>
          <w:iCs/>
        </w:rPr>
      </w:pPr>
      <w:r w:rsidRPr="002E6D04">
        <w:rPr>
          <w:rFonts w:ascii="Arial" w:hAnsi="Arial" w:cs="Calibri"/>
          <w:bCs/>
          <w:iCs/>
        </w:rPr>
        <w:t>Výzkumný projekt, jehož výsledky zachycuje tato zpráva, samozřejmě nebyl a ani nemohl být automatickou replikací patnáct let staré akce. Snažili jsme se zachovat především stěžejní prvek, zkoumání názorů středoškolské mládeže. Původní dotazník musel být samozřejmě upraven (jak je popsáno v další kapitole), zásadní otázky jsme se však snažili zachovat tak, aby mohlo být provedeno porovnání s původním výzkumem. Z dalších metod bylo zařazeno expertní šetření mezi příslušníky Policie ČR, kteří se problematice extremismu profesně věnují. Máme za to, že tito specialisté patří k nejpovolanějším osobám, které se mohou vyjádřit k otázkám trestněprávní stránky okrajových politických proudů. Třetí dílčí analýzou, která v rámci projektu proběhla, byl zevrubný popis česky psaných internetových stránek s ultrapravicovým a ultralevicovým zaměřením. Doba tištěných fanzinů dávno minula a veškeré jejich indoktrinační, mobilizační a další funkce plně převzal právě Internet. Považovali jsme proto za důležité zjistit, jaké typy informací, v jaké podobě a jakou formou je v současnosti šířen krajními politickými subjekty.</w:t>
      </w:r>
    </w:p>
    <w:p w:rsidR="00486D66" w:rsidRPr="002E6D04" w:rsidRDefault="00486D66" w:rsidP="002E6D04">
      <w:pPr>
        <w:spacing w:after="120" w:line="240" w:lineRule="auto"/>
        <w:rPr>
          <w:rFonts w:ascii="Arial" w:hAnsi="Arial" w:cs="Calibri"/>
          <w:bCs/>
        </w:rPr>
      </w:pPr>
      <w:r w:rsidRPr="002E6D04">
        <w:rPr>
          <w:rFonts w:ascii="Arial" w:hAnsi="Arial" w:cs="Calibri"/>
          <w:bCs/>
        </w:rPr>
        <w:t xml:space="preserve">V úvodní části dotazníku jsme se snažili zmapovat vzorek z hlediska základní spokojenosti se společenskou situací. To nám pak dávalo možnost dále třídit respondenty na v zásadě spokojené a nespokojené. Porovnání s r. 1995 je ve znamení hlubokých rozdílů: zatímco tehdy byly tři čtvrtiny mladých spokojeny (byť samozřejmě s výhradami), v současnosti je těchto „spokojených“ jen zhruba polovina. </w:t>
      </w:r>
    </w:p>
    <w:p w:rsidR="00486D66" w:rsidRPr="002E6D04" w:rsidRDefault="00486D66" w:rsidP="002E6D04">
      <w:pPr>
        <w:spacing w:after="120" w:line="240" w:lineRule="auto"/>
        <w:rPr>
          <w:rFonts w:ascii="Arial" w:hAnsi="Arial" w:cs="Calibri"/>
          <w:b/>
          <w:bCs/>
        </w:rPr>
      </w:pPr>
      <w:r w:rsidRPr="002E6D04">
        <w:rPr>
          <w:rFonts w:ascii="Arial" w:hAnsi="Arial" w:cs="Calibri"/>
          <w:b/>
          <w:bCs/>
        </w:rPr>
        <w:t>Jaký je Váš pohled na současnou situaci v naší společnosti?</w:t>
      </w:r>
    </w:p>
    <w:tbl>
      <w:tblPr>
        <w:tblW w:w="8820" w:type="dxa"/>
        <w:tblInd w:w="5" w:type="dxa"/>
        <w:tblLayout w:type="fixed"/>
        <w:tblCellMar>
          <w:left w:w="0" w:type="dxa"/>
          <w:right w:w="0" w:type="dxa"/>
        </w:tblCellMar>
        <w:tblLook w:val="0000"/>
      </w:tblPr>
      <w:tblGrid>
        <w:gridCol w:w="5940"/>
        <w:gridCol w:w="1440"/>
        <w:gridCol w:w="1440"/>
      </w:tblGrid>
      <w:tr w:rsidR="00486D66" w:rsidRPr="002E6D04" w:rsidTr="00B46A34">
        <w:trPr>
          <w:cantSplit/>
          <w:trHeight w:val="24"/>
        </w:trPr>
        <w:tc>
          <w:tcPr>
            <w:tcW w:w="5940" w:type="dxa"/>
            <w:tcBorders>
              <w:top w:val="single" w:sz="4" w:space="0" w:color="auto"/>
              <w:left w:val="single" w:sz="4" w:space="0" w:color="auto"/>
              <w:bottom w:val="single" w:sz="4" w:space="0" w:color="auto"/>
              <w:right w:val="single" w:sz="4" w:space="0" w:color="auto"/>
            </w:tcBorders>
            <w:shd w:val="clear" w:color="auto" w:fill="F2F2F2"/>
          </w:tcPr>
          <w:p w:rsidR="00486D66" w:rsidRPr="002E6D04" w:rsidRDefault="00486D66" w:rsidP="002E6D04">
            <w:pPr>
              <w:pStyle w:val="Poloka"/>
              <w:spacing w:after="120"/>
              <w:jc w:val="both"/>
              <w:rPr>
                <w:rFonts w:cs="Calibri"/>
                <w:b w:val="0"/>
                <w:sz w:val="24"/>
                <w:szCs w:val="24"/>
              </w:rPr>
            </w:pPr>
          </w:p>
        </w:tc>
        <w:tc>
          <w:tcPr>
            <w:tcW w:w="1440" w:type="dxa"/>
            <w:tcBorders>
              <w:top w:val="single" w:sz="4" w:space="0" w:color="auto"/>
              <w:left w:val="single" w:sz="4" w:space="0" w:color="auto"/>
              <w:bottom w:val="single" w:sz="4" w:space="0" w:color="auto"/>
              <w:right w:val="single" w:sz="4" w:space="0" w:color="auto"/>
            </w:tcBorders>
            <w:shd w:val="clear" w:color="auto" w:fill="F2F2F2"/>
            <w:vAlign w:val="center"/>
          </w:tcPr>
          <w:p w:rsidR="00486D66" w:rsidRPr="002E6D04" w:rsidRDefault="00486D66" w:rsidP="002E6D04">
            <w:pPr>
              <w:pStyle w:val="slo"/>
              <w:spacing w:after="120"/>
              <w:jc w:val="both"/>
              <w:rPr>
                <w:rFonts w:cs="Calibri"/>
                <w:b w:val="0"/>
                <w:sz w:val="24"/>
                <w:szCs w:val="24"/>
              </w:rPr>
            </w:pPr>
            <w:r w:rsidRPr="002E6D04">
              <w:rPr>
                <w:rFonts w:cs="Calibri"/>
                <w:b w:val="0"/>
                <w:sz w:val="24"/>
                <w:szCs w:val="24"/>
              </w:rPr>
              <w:t>% 1995</w:t>
            </w:r>
          </w:p>
        </w:tc>
        <w:tc>
          <w:tcPr>
            <w:tcW w:w="1440" w:type="dxa"/>
            <w:tcBorders>
              <w:top w:val="single" w:sz="4" w:space="0" w:color="auto"/>
              <w:left w:val="single" w:sz="4" w:space="0" w:color="auto"/>
              <w:bottom w:val="single" w:sz="4" w:space="0" w:color="auto"/>
              <w:right w:val="single" w:sz="4" w:space="0" w:color="auto"/>
            </w:tcBorders>
            <w:shd w:val="clear" w:color="auto" w:fill="F2F2F2"/>
          </w:tcPr>
          <w:p w:rsidR="00486D66" w:rsidRPr="002E6D04" w:rsidRDefault="00486D66" w:rsidP="002E6D04">
            <w:pPr>
              <w:pStyle w:val="slo"/>
              <w:spacing w:after="120"/>
              <w:jc w:val="both"/>
              <w:rPr>
                <w:rFonts w:cs="Calibri"/>
                <w:b w:val="0"/>
                <w:sz w:val="24"/>
                <w:szCs w:val="24"/>
              </w:rPr>
            </w:pPr>
            <w:r w:rsidRPr="002E6D04">
              <w:rPr>
                <w:rFonts w:cs="Calibri"/>
                <w:b w:val="0"/>
                <w:sz w:val="24"/>
                <w:szCs w:val="24"/>
              </w:rPr>
              <w:t>% 2011</w:t>
            </w:r>
          </w:p>
        </w:tc>
      </w:tr>
      <w:tr w:rsidR="00486D66" w:rsidRPr="002E6D04" w:rsidTr="00B46A34">
        <w:trPr>
          <w:cantSplit/>
          <w:trHeight w:val="24"/>
        </w:trPr>
        <w:tc>
          <w:tcPr>
            <w:tcW w:w="5940" w:type="dxa"/>
            <w:tcBorders>
              <w:top w:val="single" w:sz="4" w:space="0" w:color="auto"/>
              <w:left w:val="single" w:sz="4" w:space="0" w:color="auto"/>
              <w:bottom w:val="single" w:sz="4" w:space="0" w:color="auto"/>
              <w:right w:val="single" w:sz="4" w:space="0" w:color="auto"/>
            </w:tcBorders>
            <w:vAlign w:val="center"/>
          </w:tcPr>
          <w:p w:rsidR="00486D66" w:rsidRPr="002E6D04" w:rsidRDefault="00486D66" w:rsidP="002E6D04">
            <w:pPr>
              <w:pStyle w:val="Poloka"/>
              <w:spacing w:after="120"/>
              <w:jc w:val="both"/>
              <w:rPr>
                <w:rFonts w:cs="Calibri"/>
                <w:b w:val="0"/>
                <w:sz w:val="24"/>
                <w:szCs w:val="24"/>
              </w:rPr>
            </w:pPr>
            <w:r w:rsidRPr="002E6D04">
              <w:rPr>
                <w:rFonts w:cs="Calibri"/>
                <w:b w:val="0"/>
                <w:sz w:val="24"/>
                <w:szCs w:val="24"/>
              </w:rPr>
              <w:t>Vše je na dobré cestě, jsem v podstatě spokojen/a</w:t>
            </w:r>
          </w:p>
        </w:tc>
        <w:tc>
          <w:tcPr>
            <w:tcW w:w="1440" w:type="dxa"/>
            <w:tcBorders>
              <w:top w:val="single" w:sz="4" w:space="0" w:color="auto"/>
              <w:left w:val="single" w:sz="4" w:space="0" w:color="auto"/>
              <w:bottom w:val="single" w:sz="4" w:space="0" w:color="auto"/>
              <w:right w:val="single" w:sz="4" w:space="0" w:color="auto"/>
            </w:tcBorders>
            <w:vAlign w:val="center"/>
          </w:tcPr>
          <w:p w:rsidR="00486D66" w:rsidRPr="002E6D04" w:rsidRDefault="00486D66" w:rsidP="002E6D04">
            <w:pPr>
              <w:pStyle w:val="slo"/>
              <w:spacing w:after="120"/>
              <w:jc w:val="both"/>
              <w:rPr>
                <w:rFonts w:cs="Calibri"/>
                <w:b w:val="0"/>
                <w:bCs w:val="0"/>
                <w:sz w:val="24"/>
                <w:szCs w:val="24"/>
              </w:rPr>
            </w:pPr>
            <w:r w:rsidRPr="002E6D04">
              <w:rPr>
                <w:rFonts w:cs="Calibri"/>
                <w:b w:val="0"/>
                <w:bCs w:val="0"/>
                <w:sz w:val="24"/>
                <w:szCs w:val="24"/>
              </w:rPr>
              <w:t>3</w:t>
            </w:r>
          </w:p>
        </w:tc>
        <w:tc>
          <w:tcPr>
            <w:tcW w:w="1440" w:type="dxa"/>
            <w:tcBorders>
              <w:top w:val="single" w:sz="4" w:space="0" w:color="auto"/>
              <w:left w:val="single" w:sz="4" w:space="0" w:color="auto"/>
              <w:bottom w:val="single" w:sz="4" w:space="0" w:color="auto"/>
              <w:right w:val="single" w:sz="4" w:space="0" w:color="auto"/>
            </w:tcBorders>
            <w:vAlign w:val="center"/>
          </w:tcPr>
          <w:p w:rsidR="00486D66" w:rsidRPr="002E6D04" w:rsidRDefault="00486D66" w:rsidP="002E6D04">
            <w:pPr>
              <w:pStyle w:val="slo"/>
              <w:spacing w:after="120"/>
              <w:jc w:val="both"/>
              <w:rPr>
                <w:rFonts w:cs="Calibri"/>
                <w:b w:val="0"/>
                <w:bCs w:val="0"/>
                <w:sz w:val="24"/>
                <w:szCs w:val="24"/>
              </w:rPr>
            </w:pPr>
            <w:r w:rsidRPr="002E6D04">
              <w:rPr>
                <w:rFonts w:cs="Calibri"/>
                <w:b w:val="0"/>
                <w:bCs w:val="0"/>
                <w:sz w:val="24"/>
                <w:szCs w:val="24"/>
              </w:rPr>
              <w:t>5</w:t>
            </w:r>
          </w:p>
        </w:tc>
      </w:tr>
      <w:tr w:rsidR="00486D66" w:rsidRPr="002E6D04" w:rsidTr="00B46A34">
        <w:trPr>
          <w:cantSplit/>
          <w:trHeight w:val="24"/>
        </w:trPr>
        <w:tc>
          <w:tcPr>
            <w:tcW w:w="5940" w:type="dxa"/>
            <w:tcBorders>
              <w:top w:val="single" w:sz="4" w:space="0" w:color="auto"/>
              <w:left w:val="single" w:sz="4" w:space="0" w:color="auto"/>
              <w:bottom w:val="single" w:sz="4" w:space="0" w:color="auto"/>
              <w:right w:val="single" w:sz="4" w:space="0" w:color="auto"/>
            </w:tcBorders>
            <w:vAlign w:val="center"/>
          </w:tcPr>
          <w:p w:rsidR="00486D66" w:rsidRPr="002E6D04" w:rsidRDefault="00486D66" w:rsidP="002E6D04">
            <w:pPr>
              <w:pStyle w:val="Poloka"/>
              <w:spacing w:after="120"/>
              <w:jc w:val="both"/>
              <w:rPr>
                <w:rFonts w:cs="Calibri"/>
                <w:b w:val="0"/>
                <w:sz w:val="24"/>
                <w:szCs w:val="24"/>
              </w:rPr>
            </w:pPr>
            <w:r w:rsidRPr="002E6D04">
              <w:rPr>
                <w:rFonts w:cs="Calibri"/>
                <w:b w:val="0"/>
                <w:sz w:val="24"/>
                <w:szCs w:val="24"/>
              </w:rPr>
              <w:t>Najde se dost věcí, které by bylo třeba změnit</w:t>
            </w:r>
          </w:p>
        </w:tc>
        <w:tc>
          <w:tcPr>
            <w:tcW w:w="1440" w:type="dxa"/>
            <w:tcBorders>
              <w:top w:val="single" w:sz="4" w:space="0" w:color="auto"/>
              <w:left w:val="single" w:sz="4" w:space="0" w:color="auto"/>
              <w:bottom w:val="single" w:sz="4" w:space="0" w:color="auto"/>
              <w:right w:val="single" w:sz="4" w:space="0" w:color="auto"/>
            </w:tcBorders>
            <w:vAlign w:val="center"/>
          </w:tcPr>
          <w:p w:rsidR="00486D66" w:rsidRPr="002E6D04" w:rsidRDefault="00486D66" w:rsidP="002E6D04">
            <w:pPr>
              <w:pStyle w:val="slo"/>
              <w:spacing w:after="120"/>
              <w:jc w:val="both"/>
              <w:rPr>
                <w:rFonts w:cs="Calibri"/>
                <w:b w:val="0"/>
                <w:bCs w:val="0"/>
                <w:sz w:val="24"/>
                <w:szCs w:val="24"/>
              </w:rPr>
            </w:pPr>
            <w:r w:rsidRPr="002E6D04">
              <w:rPr>
                <w:rFonts w:cs="Calibri"/>
                <w:b w:val="0"/>
                <w:bCs w:val="0"/>
                <w:sz w:val="24"/>
                <w:szCs w:val="24"/>
              </w:rPr>
              <w:t>73</w:t>
            </w:r>
          </w:p>
        </w:tc>
        <w:tc>
          <w:tcPr>
            <w:tcW w:w="1440" w:type="dxa"/>
            <w:tcBorders>
              <w:top w:val="single" w:sz="4" w:space="0" w:color="auto"/>
              <w:left w:val="single" w:sz="4" w:space="0" w:color="auto"/>
              <w:bottom w:val="single" w:sz="4" w:space="0" w:color="auto"/>
              <w:right w:val="single" w:sz="4" w:space="0" w:color="auto"/>
            </w:tcBorders>
            <w:vAlign w:val="center"/>
          </w:tcPr>
          <w:p w:rsidR="00486D66" w:rsidRPr="002E6D04" w:rsidRDefault="00486D66" w:rsidP="002E6D04">
            <w:pPr>
              <w:pStyle w:val="slo"/>
              <w:spacing w:after="120"/>
              <w:jc w:val="both"/>
              <w:rPr>
                <w:rFonts w:cs="Calibri"/>
                <w:b w:val="0"/>
                <w:bCs w:val="0"/>
                <w:sz w:val="24"/>
                <w:szCs w:val="24"/>
              </w:rPr>
            </w:pPr>
            <w:r w:rsidRPr="002E6D04">
              <w:rPr>
                <w:rFonts w:cs="Calibri"/>
                <w:b w:val="0"/>
                <w:bCs w:val="0"/>
                <w:sz w:val="24"/>
                <w:szCs w:val="24"/>
              </w:rPr>
              <w:t>46</w:t>
            </w:r>
          </w:p>
        </w:tc>
      </w:tr>
      <w:tr w:rsidR="00486D66" w:rsidRPr="002E6D04" w:rsidTr="00B46A34">
        <w:trPr>
          <w:cantSplit/>
          <w:trHeight w:val="24"/>
        </w:trPr>
        <w:tc>
          <w:tcPr>
            <w:tcW w:w="5940" w:type="dxa"/>
            <w:tcBorders>
              <w:top w:val="single" w:sz="4" w:space="0" w:color="auto"/>
              <w:left w:val="single" w:sz="4" w:space="0" w:color="auto"/>
              <w:bottom w:val="single" w:sz="4" w:space="0" w:color="auto"/>
              <w:right w:val="single" w:sz="4" w:space="0" w:color="auto"/>
            </w:tcBorders>
            <w:vAlign w:val="center"/>
          </w:tcPr>
          <w:p w:rsidR="00486D66" w:rsidRPr="002E6D04" w:rsidRDefault="00486D66" w:rsidP="002E6D04">
            <w:pPr>
              <w:pStyle w:val="Poloka"/>
              <w:spacing w:after="120"/>
              <w:jc w:val="both"/>
              <w:rPr>
                <w:rFonts w:cs="Calibri"/>
                <w:b w:val="0"/>
                <w:sz w:val="24"/>
                <w:szCs w:val="24"/>
              </w:rPr>
            </w:pPr>
            <w:r w:rsidRPr="002E6D04">
              <w:rPr>
                <w:rFonts w:cs="Calibri"/>
                <w:b w:val="0"/>
                <w:sz w:val="24"/>
                <w:szCs w:val="24"/>
              </w:rPr>
              <w:t>Spousta věcí se mi nelíbí a štve mě</w:t>
            </w:r>
          </w:p>
        </w:tc>
        <w:tc>
          <w:tcPr>
            <w:tcW w:w="1440" w:type="dxa"/>
            <w:tcBorders>
              <w:top w:val="single" w:sz="4" w:space="0" w:color="auto"/>
              <w:left w:val="single" w:sz="4" w:space="0" w:color="auto"/>
              <w:bottom w:val="single" w:sz="4" w:space="0" w:color="auto"/>
              <w:right w:val="single" w:sz="4" w:space="0" w:color="auto"/>
            </w:tcBorders>
            <w:vAlign w:val="center"/>
          </w:tcPr>
          <w:p w:rsidR="00486D66" w:rsidRPr="002E6D04" w:rsidRDefault="00486D66" w:rsidP="002E6D04">
            <w:pPr>
              <w:pStyle w:val="slo"/>
              <w:spacing w:after="120"/>
              <w:jc w:val="both"/>
              <w:rPr>
                <w:rFonts w:cs="Calibri"/>
                <w:b w:val="0"/>
                <w:bCs w:val="0"/>
                <w:sz w:val="24"/>
                <w:szCs w:val="24"/>
              </w:rPr>
            </w:pPr>
            <w:r w:rsidRPr="002E6D04">
              <w:rPr>
                <w:rFonts w:cs="Calibri"/>
                <w:b w:val="0"/>
                <w:bCs w:val="0"/>
                <w:sz w:val="24"/>
                <w:szCs w:val="24"/>
              </w:rPr>
              <w:t>20</w:t>
            </w:r>
          </w:p>
        </w:tc>
        <w:tc>
          <w:tcPr>
            <w:tcW w:w="1440" w:type="dxa"/>
            <w:tcBorders>
              <w:top w:val="single" w:sz="4" w:space="0" w:color="auto"/>
              <w:left w:val="single" w:sz="4" w:space="0" w:color="auto"/>
              <w:bottom w:val="single" w:sz="4" w:space="0" w:color="auto"/>
              <w:right w:val="single" w:sz="4" w:space="0" w:color="auto"/>
            </w:tcBorders>
            <w:vAlign w:val="center"/>
          </w:tcPr>
          <w:p w:rsidR="00486D66" w:rsidRPr="002E6D04" w:rsidRDefault="00486D66" w:rsidP="002E6D04">
            <w:pPr>
              <w:pStyle w:val="slo"/>
              <w:spacing w:after="120"/>
              <w:jc w:val="both"/>
              <w:rPr>
                <w:rFonts w:cs="Calibri"/>
                <w:b w:val="0"/>
                <w:bCs w:val="0"/>
                <w:sz w:val="24"/>
                <w:szCs w:val="24"/>
              </w:rPr>
            </w:pPr>
            <w:r w:rsidRPr="002E6D04">
              <w:rPr>
                <w:rFonts w:cs="Calibri"/>
                <w:b w:val="0"/>
                <w:bCs w:val="0"/>
                <w:sz w:val="24"/>
                <w:szCs w:val="24"/>
              </w:rPr>
              <w:t>34</w:t>
            </w:r>
          </w:p>
        </w:tc>
      </w:tr>
      <w:tr w:rsidR="00486D66" w:rsidRPr="002E6D04" w:rsidTr="00B46A34">
        <w:trPr>
          <w:cantSplit/>
          <w:trHeight w:val="24"/>
        </w:trPr>
        <w:tc>
          <w:tcPr>
            <w:tcW w:w="5940" w:type="dxa"/>
            <w:tcBorders>
              <w:top w:val="single" w:sz="4" w:space="0" w:color="auto"/>
              <w:left w:val="single" w:sz="4" w:space="0" w:color="auto"/>
              <w:bottom w:val="single" w:sz="4" w:space="0" w:color="auto"/>
              <w:right w:val="single" w:sz="4" w:space="0" w:color="auto"/>
            </w:tcBorders>
            <w:vAlign w:val="center"/>
          </w:tcPr>
          <w:p w:rsidR="00486D66" w:rsidRPr="002E6D04" w:rsidRDefault="00486D66" w:rsidP="002E6D04">
            <w:pPr>
              <w:pStyle w:val="Poloka"/>
              <w:spacing w:after="120"/>
              <w:jc w:val="both"/>
              <w:rPr>
                <w:rFonts w:cs="Calibri"/>
                <w:b w:val="0"/>
                <w:sz w:val="24"/>
                <w:szCs w:val="24"/>
              </w:rPr>
            </w:pPr>
            <w:r w:rsidRPr="002E6D04">
              <w:rPr>
                <w:rFonts w:cs="Calibri"/>
                <w:b w:val="0"/>
                <w:sz w:val="24"/>
                <w:szCs w:val="24"/>
              </w:rPr>
              <w:t>Tato společnost je od základu špatná, je třeba ji úplně předělat</w:t>
            </w:r>
          </w:p>
        </w:tc>
        <w:tc>
          <w:tcPr>
            <w:tcW w:w="1440" w:type="dxa"/>
            <w:tcBorders>
              <w:top w:val="single" w:sz="4" w:space="0" w:color="auto"/>
              <w:left w:val="single" w:sz="4" w:space="0" w:color="auto"/>
              <w:bottom w:val="single" w:sz="4" w:space="0" w:color="auto"/>
              <w:right w:val="single" w:sz="4" w:space="0" w:color="auto"/>
            </w:tcBorders>
            <w:vAlign w:val="center"/>
          </w:tcPr>
          <w:p w:rsidR="00486D66" w:rsidRPr="002E6D04" w:rsidRDefault="00486D66" w:rsidP="002E6D04">
            <w:pPr>
              <w:pStyle w:val="slo"/>
              <w:spacing w:after="120"/>
              <w:jc w:val="both"/>
              <w:rPr>
                <w:rFonts w:cs="Calibri"/>
                <w:b w:val="0"/>
                <w:bCs w:val="0"/>
                <w:sz w:val="24"/>
                <w:szCs w:val="24"/>
              </w:rPr>
            </w:pPr>
            <w:r w:rsidRPr="002E6D04">
              <w:rPr>
                <w:rFonts w:cs="Calibri"/>
                <w:b w:val="0"/>
                <w:bCs w:val="0"/>
                <w:sz w:val="24"/>
                <w:szCs w:val="24"/>
              </w:rPr>
              <w:t>3,5</w:t>
            </w:r>
          </w:p>
        </w:tc>
        <w:tc>
          <w:tcPr>
            <w:tcW w:w="1440" w:type="dxa"/>
            <w:tcBorders>
              <w:top w:val="single" w:sz="4" w:space="0" w:color="auto"/>
              <w:left w:val="single" w:sz="4" w:space="0" w:color="auto"/>
              <w:bottom w:val="single" w:sz="4" w:space="0" w:color="auto"/>
              <w:right w:val="single" w:sz="4" w:space="0" w:color="auto"/>
            </w:tcBorders>
            <w:vAlign w:val="center"/>
          </w:tcPr>
          <w:p w:rsidR="00486D66" w:rsidRPr="002E6D04" w:rsidRDefault="00486D66" w:rsidP="002E6D04">
            <w:pPr>
              <w:pStyle w:val="slo"/>
              <w:spacing w:after="120"/>
              <w:jc w:val="both"/>
              <w:rPr>
                <w:rFonts w:cs="Calibri"/>
                <w:b w:val="0"/>
                <w:bCs w:val="0"/>
                <w:sz w:val="24"/>
                <w:szCs w:val="24"/>
              </w:rPr>
            </w:pPr>
            <w:r w:rsidRPr="002E6D04">
              <w:rPr>
                <w:rFonts w:cs="Calibri"/>
                <w:b w:val="0"/>
                <w:bCs w:val="0"/>
                <w:sz w:val="24"/>
                <w:szCs w:val="24"/>
              </w:rPr>
              <w:t>15</w:t>
            </w:r>
          </w:p>
        </w:tc>
      </w:tr>
    </w:tbl>
    <w:p w:rsidR="00486D66" w:rsidRPr="002E6D04" w:rsidRDefault="00486D66" w:rsidP="002E6D04">
      <w:pPr>
        <w:spacing w:after="120" w:line="240" w:lineRule="auto"/>
        <w:rPr>
          <w:rFonts w:ascii="Arial" w:hAnsi="Arial" w:cs="Calibri"/>
        </w:rPr>
      </w:pPr>
    </w:p>
    <w:p w:rsidR="00486D66" w:rsidRPr="002E6D04" w:rsidRDefault="00486D66" w:rsidP="002E6D04">
      <w:pPr>
        <w:spacing w:after="120" w:line="240" w:lineRule="auto"/>
        <w:rPr>
          <w:rFonts w:ascii="Arial" w:hAnsi="Arial" w:cs="Calibri"/>
        </w:rPr>
      </w:pPr>
      <w:r w:rsidRPr="002E6D04">
        <w:rPr>
          <w:rFonts w:ascii="Arial" w:hAnsi="Arial" w:cs="Calibri"/>
        </w:rPr>
        <w:t xml:space="preserve">Je-li tedy společnost tak kriticky vnímána, je nutno se zeptat, </w:t>
      </w:r>
      <w:r w:rsidRPr="002E6D04">
        <w:rPr>
          <w:rFonts w:ascii="Arial" w:hAnsi="Arial" w:cs="Calibri"/>
          <w:u w:val="single"/>
        </w:rPr>
        <w:t>jaké problémy jsou považovány za nejpodstatnější</w:t>
      </w:r>
      <w:r w:rsidRPr="002E6D04">
        <w:rPr>
          <w:rFonts w:ascii="Arial" w:hAnsi="Arial" w:cs="Calibri"/>
        </w:rPr>
        <w:t xml:space="preserve"> (z  předloženého seznamu vybírali respondenti tři varianty). Také zde ukazuje tabulka zajímavé rozdíly; je nutno dodat, že pro aktuální výzkum byla doplněna položka „nespravedlnost“, neboť tato výhrada se v posledních letech ve výzkumech často objevuje. Že byla zařazena oprávněně, dokazuje její vysoká preference – objevuje se na třetím místě. Dominuje kritika politiků, jejichž morální profil irituje šest lidí z deseti. Zajímavé je, že v letech krátce po „sametové revoluci“ panoval směrem k nové politické garnituře spíše optimismus. Téměř polovina dotázaných ale tehdy i dnes zdůrazňovala přítomnost „špinavých peněz“. V roce 1995 to byly peníze nejasného původu, používané k privatizaci státního majetku, zakládání finančních ústavů a podobně, v posledních letech čelí celá politická hierarchie silným podezřením z masivní korupce při veřejných zakázkách. </w:t>
      </w:r>
    </w:p>
    <w:p w:rsidR="00486D66" w:rsidRPr="002E6D04" w:rsidRDefault="00486D66" w:rsidP="002E6D04">
      <w:pPr>
        <w:spacing w:after="120" w:line="240" w:lineRule="auto"/>
        <w:rPr>
          <w:rFonts w:ascii="Arial" w:hAnsi="Arial" w:cs="Calibri"/>
          <w:b/>
          <w:bCs/>
        </w:rPr>
      </w:pPr>
      <w:r w:rsidRPr="002E6D04">
        <w:rPr>
          <w:rFonts w:ascii="Arial" w:hAnsi="Arial" w:cs="Calibri"/>
          <w:b/>
          <w:bCs/>
        </w:rPr>
        <w:t>Jaké jsou podle Vás největší vady dnešní společnosti?</w:t>
      </w:r>
    </w:p>
    <w:tbl>
      <w:tblPr>
        <w:tblpPr w:leftFromText="142" w:rightFromText="142" w:vertAnchor="text" w:horzAnchor="margin" w:tblpY="1"/>
        <w:tblW w:w="0" w:type="auto"/>
        <w:tblLayout w:type="fixed"/>
        <w:tblCellMar>
          <w:left w:w="70" w:type="dxa"/>
          <w:right w:w="70" w:type="dxa"/>
        </w:tblCellMar>
        <w:tblLook w:val="0000"/>
      </w:tblPr>
      <w:tblGrid>
        <w:gridCol w:w="6010"/>
        <w:gridCol w:w="1440"/>
        <w:gridCol w:w="1440"/>
      </w:tblGrid>
      <w:tr w:rsidR="00486D66" w:rsidRPr="002E6D04" w:rsidTr="00B46A34">
        <w:tc>
          <w:tcPr>
            <w:tcW w:w="6010" w:type="dxa"/>
            <w:tcBorders>
              <w:top w:val="single" w:sz="6" w:space="0" w:color="auto"/>
              <w:left w:val="single" w:sz="6" w:space="0" w:color="auto"/>
              <w:bottom w:val="single" w:sz="12" w:space="0" w:color="auto"/>
              <w:right w:val="single" w:sz="6" w:space="0" w:color="auto"/>
            </w:tcBorders>
            <w:shd w:val="clear" w:color="auto" w:fill="F2F2F2"/>
          </w:tcPr>
          <w:p w:rsidR="00486D66" w:rsidRPr="002E6D04" w:rsidRDefault="00486D66" w:rsidP="002E6D04">
            <w:pPr>
              <w:spacing w:after="120" w:line="240" w:lineRule="auto"/>
              <w:rPr>
                <w:rFonts w:ascii="Arial" w:hAnsi="Arial" w:cs="Calibri"/>
              </w:rPr>
            </w:pPr>
          </w:p>
        </w:tc>
        <w:tc>
          <w:tcPr>
            <w:tcW w:w="1440" w:type="dxa"/>
            <w:tcBorders>
              <w:top w:val="single" w:sz="6" w:space="0" w:color="auto"/>
              <w:left w:val="single" w:sz="6" w:space="0" w:color="auto"/>
              <w:bottom w:val="single" w:sz="12" w:space="0" w:color="auto"/>
              <w:right w:val="single" w:sz="6" w:space="0" w:color="auto"/>
            </w:tcBorders>
            <w:shd w:val="clear" w:color="auto" w:fill="F2F2F2"/>
          </w:tcPr>
          <w:p w:rsidR="00486D66" w:rsidRPr="002E6D04" w:rsidRDefault="00486D66" w:rsidP="002E6D04">
            <w:pPr>
              <w:spacing w:after="120" w:line="240" w:lineRule="auto"/>
              <w:rPr>
                <w:rFonts w:ascii="Arial" w:hAnsi="Arial" w:cs="Calibri"/>
              </w:rPr>
            </w:pPr>
            <w:r w:rsidRPr="002E6D04">
              <w:rPr>
                <w:rFonts w:ascii="Arial" w:hAnsi="Arial" w:cs="Calibri"/>
              </w:rPr>
              <w:t>% 1995</w:t>
            </w:r>
          </w:p>
        </w:tc>
        <w:tc>
          <w:tcPr>
            <w:tcW w:w="1440" w:type="dxa"/>
            <w:tcBorders>
              <w:top w:val="single" w:sz="6" w:space="0" w:color="auto"/>
              <w:left w:val="single" w:sz="6" w:space="0" w:color="auto"/>
              <w:bottom w:val="single" w:sz="12" w:space="0" w:color="auto"/>
              <w:right w:val="single" w:sz="6" w:space="0" w:color="auto"/>
            </w:tcBorders>
            <w:shd w:val="clear" w:color="auto" w:fill="F2F2F2"/>
          </w:tcPr>
          <w:p w:rsidR="00486D66" w:rsidRPr="002E6D04" w:rsidRDefault="00486D66" w:rsidP="002E6D04">
            <w:pPr>
              <w:spacing w:after="120" w:line="240" w:lineRule="auto"/>
              <w:rPr>
                <w:rFonts w:ascii="Arial" w:hAnsi="Arial" w:cs="Calibri"/>
              </w:rPr>
            </w:pPr>
            <w:r w:rsidRPr="002E6D04">
              <w:rPr>
                <w:rFonts w:ascii="Arial" w:hAnsi="Arial" w:cs="Calibri"/>
              </w:rPr>
              <w:t>% 2011</w:t>
            </w:r>
          </w:p>
        </w:tc>
      </w:tr>
      <w:tr w:rsidR="00486D66" w:rsidRPr="002E6D04" w:rsidTr="00B46A34">
        <w:tc>
          <w:tcPr>
            <w:tcW w:w="6010" w:type="dxa"/>
            <w:tcBorders>
              <w:top w:val="single" w:sz="12" w:space="0" w:color="auto"/>
              <w:left w:val="single" w:sz="6" w:space="0" w:color="auto"/>
              <w:bottom w:val="single" w:sz="6" w:space="0" w:color="auto"/>
              <w:right w:val="single" w:sz="6" w:space="0" w:color="auto"/>
            </w:tcBorders>
            <w:shd w:val="pct15" w:color="auto" w:fill="auto"/>
          </w:tcPr>
          <w:p w:rsidR="00486D66" w:rsidRPr="002E6D04" w:rsidRDefault="00486D66" w:rsidP="002E6D04">
            <w:pPr>
              <w:spacing w:after="120" w:line="240" w:lineRule="auto"/>
              <w:rPr>
                <w:rFonts w:ascii="Arial" w:hAnsi="Arial" w:cs="Calibri"/>
                <w:bCs/>
              </w:rPr>
            </w:pPr>
            <w:r w:rsidRPr="002E6D04">
              <w:rPr>
                <w:rFonts w:ascii="Arial" w:hAnsi="Arial" w:cs="Calibri"/>
                <w:bCs/>
              </w:rPr>
              <w:t xml:space="preserve"> politici jsou špatní, myslí jen na sebe</w:t>
            </w:r>
          </w:p>
        </w:tc>
        <w:tc>
          <w:tcPr>
            <w:tcW w:w="1440" w:type="dxa"/>
            <w:tcBorders>
              <w:top w:val="single" w:sz="12" w:space="0" w:color="auto"/>
              <w:left w:val="single" w:sz="6" w:space="0" w:color="auto"/>
              <w:bottom w:val="single" w:sz="6" w:space="0" w:color="auto"/>
              <w:right w:val="single" w:sz="6" w:space="0" w:color="auto"/>
            </w:tcBorders>
            <w:shd w:val="pct15" w:color="auto" w:fill="auto"/>
          </w:tcPr>
          <w:p w:rsidR="00486D66" w:rsidRPr="002E6D04" w:rsidRDefault="00486D66" w:rsidP="002E6D04">
            <w:pPr>
              <w:spacing w:after="120" w:line="240" w:lineRule="auto"/>
              <w:rPr>
                <w:rFonts w:ascii="Arial" w:hAnsi="Arial" w:cs="Calibri"/>
              </w:rPr>
            </w:pPr>
            <w:r w:rsidRPr="002E6D04">
              <w:rPr>
                <w:rFonts w:ascii="Arial" w:hAnsi="Arial" w:cs="Calibri"/>
              </w:rPr>
              <w:t>22</w:t>
            </w:r>
          </w:p>
        </w:tc>
        <w:tc>
          <w:tcPr>
            <w:tcW w:w="1440" w:type="dxa"/>
            <w:tcBorders>
              <w:top w:val="single" w:sz="12" w:space="0" w:color="auto"/>
              <w:left w:val="single" w:sz="6" w:space="0" w:color="auto"/>
              <w:bottom w:val="single" w:sz="6" w:space="0" w:color="auto"/>
              <w:right w:val="single" w:sz="6" w:space="0" w:color="auto"/>
            </w:tcBorders>
            <w:shd w:val="pct15" w:color="auto" w:fill="auto"/>
          </w:tcPr>
          <w:p w:rsidR="00486D66" w:rsidRPr="002E6D04" w:rsidRDefault="00486D66" w:rsidP="002E6D04">
            <w:pPr>
              <w:spacing w:after="120" w:line="240" w:lineRule="auto"/>
              <w:rPr>
                <w:rFonts w:ascii="Arial" w:hAnsi="Arial" w:cs="Calibri"/>
              </w:rPr>
            </w:pPr>
            <w:r w:rsidRPr="002E6D04">
              <w:rPr>
                <w:rFonts w:ascii="Arial" w:hAnsi="Arial" w:cs="Calibri"/>
              </w:rPr>
              <w:t>60</w:t>
            </w:r>
          </w:p>
        </w:tc>
      </w:tr>
      <w:tr w:rsidR="00486D66" w:rsidRPr="002E6D04" w:rsidTr="00B46A34">
        <w:tc>
          <w:tcPr>
            <w:tcW w:w="601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bCs/>
              </w:rPr>
            </w:pPr>
            <w:r w:rsidRPr="002E6D04">
              <w:rPr>
                <w:rFonts w:ascii="Arial" w:hAnsi="Arial" w:cs="Calibri"/>
                <w:bCs/>
              </w:rPr>
              <w:t xml:space="preserve"> všude je plno úplatků a špinavých peněz</w:t>
            </w:r>
          </w:p>
        </w:tc>
        <w:tc>
          <w:tcPr>
            <w:tcW w:w="144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49</w:t>
            </w:r>
          </w:p>
        </w:tc>
        <w:tc>
          <w:tcPr>
            <w:tcW w:w="144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45</w:t>
            </w:r>
          </w:p>
        </w:tc>
      </w:tr>
      <w:tr w:rsidR="00486D66" w:rsidRPr="002E6D04" w:rsidTr="00B46A34">
        <w:tc>
          <w:tcPr>
            <w:tcW w:w="6010" w:type="dxa"/>
            <w:tcBorders>
              <w:top w:val="single" w:sz="6" w:space="0" w:color="auto"/>
              <w:left w:val="single" w:sz="6" w:space="0" w:color="auto"/>
              <w:bottom w:val="single" w:sz="6" w:space="0" w:color="auto"/>
              <w:right w:val="single" w:sz="6" w:space="0" w:color="auto"/>
            </w:tcBorders>
            <w:shd w:val="pct15" w:color="auto" w:fill="auto"/>
          </w:tcPr>
          <w:p w:rsidR="00486D66" w:rsidRPr="002E6D04" w:rsidRDefault="00486D66" w:rsidP="002E6D04">
            <w:pPr>
              <w:spacing w:after="120" w:line="240" w:lineRule="auto"/>
              <w:rPr>
                <w:rFonts w:ascii="Arial" w:hAnsi="Arial" w:cs="Calibri"/>
                <w:bCs/>
              </w:rPr>
            </w:pPr>
            <w:r w:rsidRPr="002E6D04">
              <w:rPr>
                <w:rFonts w:ascii="Arial" w:hAnsi="Arial" w:cs="Calibri"/>
                <w:bCs/>
              </w:rPr>
              <w:t xml:space="preserve"> stát nemá pevnou ruku, bují kriminalita</w:t>
            </w:r>
          </w:p>
        </w:tc>
        <w:tc>
          <w:tcPr>
            <w:tcW w:w="1440" w:type="dxa"/>
            <w:tcBorders>
              <w:top w:val="single" w:sz="6" w:space="0" w:color="auto"/>
              <w:left w:val="single" w:sz="6" w:space="0" w:color="auto"/>
              <w:bottom w:val="single" w:sz="6" w:space="0" w:color="auto"/>
              <w:right w:val="single" w:sz="6" w:space="0" w:color="auto"/>
            </w:tcBorders>
            <w:shd w:val="pct15" w:color="auto" w:fill="auto"/>
          </w:tcPr>
          <w:p w:rsidR="00486D66" w:rsidRPr="002E6D04" w:rsidRDefault="00486D66" w:rsidP="002E6D04">
            <w:pPr>
              <w:spacing w:after="120" w:line="240" w:lineRule="auto"/>
              <w:rPr>
                <w:rFonts w:ascii="Arial" w:hAnsi="Arial" w:cs="Calibri"/>
              </w:rPr>
            </w:pPr>
            <w:r w:rsidRPr="002E6D04">
              <w:rPr>
                <w:rFonts w:ascii="Arial" w:hAnsi="Arial" w:cs="Calibri"/>
              </w:rPr>
              <w:t>49</w:t>
            </w:r>
          </w:p>
        </w:tc>
        <w:tc>
          <w:tcPr>
            <w:tcW w:w="1440" w:type="dxa"/>
            <w:tcBorders>
              <w:top w:val="single" w:sz="6" w:space="0" w:color="auto"/>
              <w:left w:val="single" w:sz="6" w:space="0" w:color="auto"/>
              <w:bottom w:val="single" w:sz="6" w:space="0" w:color="auto"/>
              <w:right w:val="single" w:sz="6" w:space="0" w:color="auto"/>
            </w:tcBorders>
            <w:shd w:val="pct15" w:color="auto" w:fill="auto"/>
          </w:tcPr>
          <w:p w:rsidR="00486D66" w:rsidRPr="002E6D04" w:rsidRDefault="00486D66" w:rsidP="002E6D04">
            <w:pPr>
              <w:spacing w:after="120" w:line="240" w:lineRule="auto"/>
              <w:rPr>
                <w:rFonts w:ascii="Arial" w:hAnsi="Arial" w:cs="Calibri"/>
              </w:rPr>
            </w:pPr>
            <w:r w:rsidRPr="002E6D04">
              <w:rPr>
                <w:rFonts w:ascii="Arial" w:hAnsi="Arial" w:cs="Calibri"/>
              </w:rPr>
              <w:t>18</w:t>
            </w:r>
          </w:p>
        </w:tc>
      </w:tr>
      <w:tr w:rsidR="00486D66" w:rsidRPr="002E6D04" w:rsidTr="00B46A34">
        <w:tc>
          <w:tcPr>
            <w:tcW w:w="601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bCs/>
              </w:rPr>
            </w:pPr>
            <w:r w:rsidRPr="002E6D04">
              <w:rPr>
                <w:rFonts w:ascii="Arial" w:hAnsi="Arial" w:cs="Calibri"/>
                <w:bCs/>
              </w:rPr>
              <w:t xml:space="preserve"> lidi se starají jen o svoje zisky</w:t>
            </w:r>
          </w:p>
        </w:tc>
        <w:tc>
          <w:tcPr>
            <w:tcW w:w="144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33</w:t>
            </w:r>
          </w:p>
        </w:tc>
        <w:tc>
          <w:tcPr>
            <w:tcW w:w="144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18</w:t>
            </w:r>
          </w:p>
        </w:tc>
      </w:tr>
      <w:tr w:rsidR="00486D66" w:rsidRPr="002E6D04" w:rsidTr="00B46A34">
        <w:tc>
          <w:tcPr>
            <w:tcW w:w="601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bCs/>
              </w:rPr>
            </w:pPr>
            <w:r w:rsidRPr="002E6D04">
              <w:rPr>
                <w:rFonts w:ascii="Arial" w:hAnsi="Arial" w:cs="Calibri"/>
                <w:bCs/>
              </w:rPr>
              <w:t xml:space="preserve"> upadá národní uvědomění</w:t>
            </w:r>
          </w:p>
        </w:tc>
        <w:tc>
          <w:tcPr>
            <w:tcW w:w="144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13</w:t>
            </w:r>
          </w:p>
        </w:tc>
        <w:tc>
          <w:tcPr>
            <w:tcW w:w="144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8,5</w:t>
            </w:r>
          </w:p>
        </w:tc>
      </w:tr>
      <w:tr w:rsidR="00486D66" w:rsidRPr="002E6D04" w:rsidTr="00B46A34">
        <w:tc>
          <w:tcPr>
            <w:tcW w:w="6010" w:type="dxa"/>
            <w:tcBorders>
              <w:top w:val="single" w:sz="6" w:space="0" w:color="auto"/>
              <w:left w:val="single" w:sz="6" w:space="0" w:color="auto"/>
              <w:bottom w:val="single" w:sz="6" w:space="0" w:color="auto"/>
              <w:right w:val="single" w:sz="6" w:space="0" w:color="auto"/>
            </w:tcBorders>
            <w:shd w:val="pct15" w:color="auto" w:fill="auto"/>
          </w:tcPr>
          <w:p w:rsidR="00486D66" w:rsidRPr="002E6D04" w:rsidRDefault="00486D66" w:rsidP="002E6D04">
            <w:pPr>
              <w:spacing w:after="120" w:line="240" w:lineRule="auto"/>
              <w:rPr>
                <w:rFonts w:ascii="Arial" w:hAnsi="Arial" w:cs="Calibri"/>
                <w:bCs/>
              </w:rPr>
            </w:pPr>
            <w:r w:rsidRPr="002E6D04">
              <w:rPr>
                <w:rFonts w:ascii="Arial" w:hAnsi="Arial" w:cs="Calibri"/>
                <w:bCs/>
              </w:rPr>
              <w:t xml:space="preserve"> ničí se příroda</w:t>
            </w:r>
          </w:p>
        </w:tc>
        <w:tc>
          <w:tcPr>
            <w:tcW w:w="1440" w:type="dxa"/>
            <w:tcBorders>
              <w:top w:val="single" w:sz="6" w:space="0" w:color="auto"/>
              <w:left w:val="single" w:sz="6" w:space="0" w:color="auto"/>
              <w:bottom w:val="single" w:sz="6" w:space="0" w:color="auto"/>
              <w:right w:val="single" w:sz="6" w:space="0" w:color="auto"/>
            </w:tcBorders>
            <w:shd w:val="pct15" w:color="auto" w:fill="auto"/>
          </w:tcPr>
          <w:p w:rsidR="00486D66" w:rsidRPr="002E6D04" w:rsidRDefault="00486D66" w:rsidP="002E6D04">
            <w:pPr>
              <w:spacing w:after="120" w:line="240" w:lineRule="auto"/>
              <w:rPr>
                <w:rFonts w:ascii="Arial" w:hAnsi="Arial" w:cs="Calibri"/>
              </w:rPr>
            </w:pPr>
            <w:r w:rsidRPr="002E6D04">
              <w:rPr>
                <w:rFonts w:ascii="Arial" w:hAnsi="Arial" w:cs="Calibri"/>
              </w:rPr>
              <w:t>59</w:t>
            </w:r>
          </w:p>
        </w:tc>
        <w:tc>
          <w:tcPr>
            <w:tcW w:w="1440" w:type="dxa"/>
            <w:tcBorders>
              <w:top w:val="single" w:sz="6" w:space="0" w:color="auto"/>
              <w:left w:val="single" w:sz="6" w:space="0" w:color="auto"/>
              <w:bottom w:val="single" w:sz="6" w:space="0" w:color="auto"/>
              <w:right w:val="single" w:sz="6" w:space="0" w:color="auto"/>
            </w:tcBorders>
            <w:shd w:val="pct15" w:color="auto" w:fill="auto"/>
          </w:tcPr>
          <w:p w:rsidR="00486D66" w:rsidRPr="002E6D04" w:rsidRDefault="00486D66" w:rsidP="002E6D04">
            <w:pPr>
              <w:spacing w:after="120" w:line="240" w:lineRule="auto"/>
              <w:rPr>
                <w:rFonts w:ascii="Arial" w:hAnsi="Arial" w:cs="Calibri"/>
              </w:rPr>
            </w:pPr>
            <w:r w:rsidRPr="002E6D04">
              <w:rPr>
                <w:rFonts w:ascii="Arial" w:hAnsi="Arial" w:cs="Calibri"/>
              </w:rPr>
              <w:t>21,5</w:t>
            </w:r>
          </w:p>
        </w:tc>
      </w:tr>
      <w:tr w:rsidR="00486D66" w:rsidRPr="002E6D04" w:rsidTr="00B46A34">
        <w:tc>
          <w:tcPr>
            <w:tcW w:w="601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bCs/>
              </w:rPr>
            </w:pPr>
            <w:r w:rsidRPr="002E6D04">
              <w:rPr>
                <w:rFonts w:ascii="Arial" w:hAnsi="Arial" w:cs="Calibri"/>
                <w:bCs/>
              </w:rPr>
              <w:t xml:space="preserve"> je tu moc přistěhovalců a barevných</w:t>
            </w:r>
          </w:p>
        </w:tc>
        <w:tc>
          <w:tcPr>
            <w:tcW w:w="144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18</w:t>
            </w:r>
          </w:p>
        </w:tc>
        <w:tc>
          <w:tcPr>
            <w:tcW w:w="144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30</w:t>
            </w:r>
          </w:p>
        </w:tc>
      </w:tr>
      <w:tr w:rsidR="00486D66" w:rsidRPr="002E6D04" w:rsidTr="00B46A34">
        <w:tc>
          <w:tcPr>
            <w:tcW w:w="601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bCs/>
              </w:rPr>
            </w:pPr>
            <w:r w:rsidRPr="002E6D04">
              <w:rPr>
                <w:rFonts w:ascii="Arial" w:hAnsi="Arial" w:cs="Calibri"/>
                <w:bCs/>
              </w:rPr>
              <w:t xml:space="preserve"> stát se špatně stará o nejchudší občany</w:t>
            </w:r>
          </w:p>
        </w:tc>
        <w:tc>
          <w:tcPr>
            <w:tcW w:w="144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8</w:t>
            </w:r>
          </w:p>
        </w:tc>
        <w:tc>
          <w:tcPr>
            <w:tcW w:w="144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10</w:t>
            </w:r>
          </w:p>
        </w:tc>
      </w:tr>
      <w:tr w:rsidR="00486D66" w:rsidRPr="002E6D04" w:rsidTr="00B46A34">
        <w:tc>
          <w:tcPr>
            <w:tcW w:w="601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bCs/>
              </w:rPr>
            </w:pPr>
            <w:r w:rsidRPr="002E6D04">
              <w:rPr>
                <w:rFonts w:ascii="Arial" w:hAnsi="Arial" w:cs="Calibri"/>
                <w:bCs/>
              </w:rPr>
              <w:t xml:space="preserve"> je vysoká nezaměstnanost</w:t>
            </w:r>
          </w:p>
        </w:tc>
        <w:tc>
          <w:tcPr>
            <w:tcW w:w="144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17</w:t>
            </w:r>
          </w:p>
        </w:tc>
        <w:tc>
          <w:tcPr>
            <w:tcW w:w="144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33</w:t>
            </w:r>
          </w:p>
        </w:tc>
      </w:tr>
      <w:tr w:rsidR="00486D66" w:rsidRPr="002E6D04" w:rsidTr="00B46A34">
        <w:tc>
          <w:tcPr>
            <w:tcW w:w="601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bCs/>
              </w:rPr>
            </w:pPr>
            <w:r w:rsidRPr="002E6D04">
              <w:rPr>
                <w:rFonts w:ascii="Arial" w:hAnsi="Arial" w:cs="Calibri"/>
                <w:bCs/>
              </w:rPr>
              <w:t>nespravedlnost (není všem měřeno stejným metrem)</w:t>
            </w:r>
          </w:p>
        </w:tc>
        <w:tc>
          <w:tcPr>
            <w:tcW w:w="144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w:t>
            </w:r>
          </w:p>
        </w:tc>
        <w:tc>
          <w:tcPr>
            <w:tcW w:w="144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36</w:t>
            </w:r>
          </w:p>
        </w:tc>
      </w:tr>
      <w:tr w:rsidR="00486D66" w:rsidRPr="002E6D04" w:rsidTr="00B46A34">
        <w:tc>
          <w:tcPr>
            <w:tcW w:w="601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bCs/>
              </w:rPr>
            </w:pPr>
            <w:r w:rsidRPr="002E6D04">
              <w:rPr>
                <w:rFonts w:ascii="Arial" w:hAnsi="Arial" w:cs="Calibri"/>
                <w:bCs/>
              </w:rPr>
              <w:t xml:space="preserve"> j</w:t>
            </w:r>
            <w:bookmarkStart w:id="0" w:name="_GoBack"/>
            <w:bookmarkEnd w:id="0"/>
            <w:r w:rsidRPr="002E6D04">
              <w:rPr>
                <w:rFonts w:ascii="Arial" w:hAnsi="Arial" w:cs="Calibri"/>
                <w:bCs/>
              </w:rPr>
              <w:t>iné</w:t>
            </w:r>
          </w:p>
        </w:tc>
        <w:tc>
          <w:tcPr>
            <w:tcW w:w="144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7</w:t>
            </w:r>
          </w:p>
        </w:tc>
        <w:tc>
          <w:tcPr>
            <w:tcW w:w="144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2</w:t>
            </w:r>
          </w:p>
        </w:tc>
      </w:tr>
      <w:tr w:rsidR="00486D66" w:rsidRPr="002E6D04" w:rsidTr="00B46A34">
        <w:tc>
          <w:tcPr>
            <w:tcW w:w="601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bCs/>
              </w:rPr>
            </w:pPr>
            <w:r w:rsidRPr="002E6D04">
              <w:rPr>
                <w:rFonts w:ascii="Arial" w:hAnsi="Arial" w:cs="Calibri"/>
                <w:bCs/>
              </w:rPr>
              <w:t xml:space="preserve"> nenacházím žádné vady</w:t>
            </w:r>
          </w:p>
        </w:tc>
        <w:tc>
          <w:tcPr>
            <w:tcW w:w="144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0</w:t>
            </w:r>
          </w:p>
        </w:tc>
        <w:tc>
          <w:tcPr>
            <w:tcW w:w="1440"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0</w:t>
            </w:r>
          </w:p>
        </w:tc>
      </w:tr>
    </w:tbl>
    <w:p w:rsidR="00486D66" w:rsidRPr="002E6D04" w:rsidRDefault="00486D66" w:rsidP="002E6D04">
      <w:pPr>
        <w:spacing w:after="120" w:line="240" w:lineRule="auto"/>
        <w:rPr>
          <w:rFonts w:ascii="Arial" w:hAnsi="Arial" w:cs="Calibri"/>
        </w:rPr>
      </w:pPr>
    </w:p>
    <w:p w:rsidR="00486D66" w:rsidRPr="002E6D04" w:rsidRDefault="00486D66" w:rsidP="002E6D04">
      <w:pPr>
        <w:spacing w:after="120" w:line="240" w:lineRule="auto"/>
        <w:rPr>
          <w:rFonts w:ascii="Arial" w:hAnsi="Arial" w:cs="Calibri"/>
        </w:rPr>
      </w:pPr>
      <w:r w:rsidRPr="002E6D04">
        <w:rPr>
          <w:rFonts w:ascii="Arial" w:hAnsi="Arial" w:cs="Calibri"/>
        </w:rPr>
        <w:t xml:space="preserve">Další skupinou otázek, jimiž jsme testovali toleranci respondentů, byly osobní </w:t>
      </w:r>
      <w:r w:rsidRPr="002E6D04">
        <w:rPr>
          <w:rFonts w:ascii="Arial" w:hAnsi="Arial" w:cs="Calibri"/>
          <w:bCs/>
          <w:u w:val="single"/>
        </w:rPr>
        <w:t>sympatie nebo antipatie k různým sociálním, etnickým a sexuálním skupinám</w:t>
      </w:r>
      <w:r w:rsidRPr="002E6D04">
        <w:rPr>
          <w:rFonts w:ascii="Arial" w:hAnsi="Arial" w:cs="Calibri"/>
        </w:rPr>
        <w:t xml:space="preserve"> v naší společnosti. Je možno mít za prokázané, že právě intolerance je zásadní charakteristikou řady fundamentalistických a antidemokratických hnutí. Respondenti měli oznámkovat následující skupiny známkou jako ve škole, jednička tedy znamená velmi kladný vztah vyjádřený slovně jako "mám je rád", pětku bychom naopak mohli charakterizovat slovy "nenávidím je". Kromě minorit, tradičně traktovaných jako „kontroversní“, byly do otázky úmyslně zahrnuty i zcela „mainstreamové“ skupiny obyvatel. Cílem bylo vytipovat mezi respondenty zásadní kritiky současného sociálního uspořádání, včetně jeho hlavních představitelů. </w:t>
      </w:r>
    </w:p>
    <w:p w:rsidR="00486D66" w:rsidRPr="002E6D04" w:rsidRDefault="00486D66" w:rsidP="002E6D04">
      <w:pPr>
        <w:spacing w:after="120" w:line="240" w:lineRule="auto"/>
        <w:rPr>
          <w:rFonts w:ascii="Arial" w:hAnsi="Arial" w:cs="Calibri"/>
          <w:bCs/>
          <w:iCs/>
        </w:rPr>
      </w:pPr>
      <w:r w:rsidRPr="002E6D04">
        <w:rPr>
          <w:rFonts w:ascii="Arial" w:hAnsi="Arial" w:cs="Calibri"/>
        </w:rPr>
        <w:t xml:space="preserve">V centrální části dotazníku byli mladí lidé přímo tázáni na své postoje k vyjmenovaným radikálním hnutím z obou stran politického spektra. Krom jiného nás logicky zajímalo, zda je některé z uvedených hnutí respondentům </w:t>
      </w:r>
      <w:r w:rsidRPr="002E6D04">
        <w:rPr>
          <w:rFonts w:ascii="Arial" w:hAnsi="Arial" w:cs="Calibri"/>
          <w:bCs/>
          <w:iCs/>
          <w:u w:val="single"/>
        </w:rPr>
        <w:t>sympatické a které je nejsympatičtější.</w:t>
      </w:r>
      <w:r w:rsidRPr="002E6D04">
        <w:rPr>
          <w:rFonts w:ascii="Arial" w:hAnsi="Arial" w:cs="Calibri"/>
          <w:bCs/>
          <w:iCs/>
        </w:rPr>
        <w:t xml:space="preserve"> Pro přehlednost mohli volit pouze jednu variantu. Přesně polovina dotázaných sdělila, že jim není sympatická žádná z předložených skupin. Odpovědi těch, kteří si svého favorita našli, vidíme v tabulce:</w:t>
      </w:r>
    </w:p>
    <w:tbl>
      <w:tblPr>
        <w:tblW w:w="6663" w:type="dxa"/>
        <w:tblInd w:w="40" w:type="dxa"/>
        <w:tblLayout w:type="fixed"/>
        <w:tblCellMar>
          <w:left w:w="40" w:type="dxa"/>
          <w:right w:w="40" w:type="dxa"/>
        </w:tblCellMar>
        <w:tblLook w:val="0000"/>
      </w:tblPr>
      <w:tblGrid>
        <w:gridCol w:w="5812"/>
        <w:gridCol w:w="851"/>
      </w:tblGrid>
      <w:tr w:rsidR="00486D66" w:rsidRPr="002E6D04" w:rsidTr="00B46A34">
        <w:tc>
          <w:tcPr>
            <w:tcW w:w="5812" w:type="dxa"/>
            <w:tcBorders>
              <w:top w:val="single" w:sz="6" w:space="0" w:color="auto"/>
              <w:bottom w:val="single" w:sz="6" w:space="0" w:color="auto"/>
              <w:right w:val="single" w:sz="6" w:space="0" w:color="auto"/>
            </w:tcBorders>
            <w:shd w:val="pct15" w:color="auto" w:fill="FFFFFF"/>
          </w:tcPr>
          <w:p w:rsidR="00486D66" w:rsidRPr="002E6D04" w:rsidRDefault="00486D66" w:rsidP="002E6D04">
            <w:pPr>
              <w:spacing w:after="120" w:line="240" w:lineRule="auto"/>
              <w:rPr>
                <w:rFonts w:ascii="Arial" w:hAnsi="Arial" w:cs="Calibri"/>
                <w:b/>
              </w:rPr>
            </w:pPr>
            <w:r w:rsidRPr="002E6D04">
              <w:rPr>
                <w:rFonts w:ascii="Arial" w:hAnsi="Arial" w:cs="Calibri"/>
                <w:b/>
              </w:rPr>
              <w:t xml:space="preserve">Nejoblíbenější </w:t>
            </w:r>
          </w:p>
        </w:tc>
        <w:tc>
          <w:tcPr>
            <w:tcW w:w="851" w:type="dxa"/>
            <w:tcBorders>
              <w:top w:val="single" w:sz="6" w:space="0" w:color="auto"/>
              <w:left w:val="single" w:sz="6" w:space="0" w:color="auto"/>
              <w:bottom w:val="single" w:sz="6" w:space="0" w:color="auto"/>
              <w:right w:val="single" w:sz="6" w:space="0" w:color="auto"/>
            </w:tcBorders>
            <w:shd w:val="pct15" w:color="auto" w:fill="FFFFFF"/>
          </w:tcPr>
          <w:p w:rsidR="00486D66" w:rsidRPr="002E6D04" w:rsidRDefault="00486D66" w:rsidP="002E6D04">
            <w:pPr>
              <w:spacing w:after="120" w:line="240" w:lineRule="auto"/>
              <w:rPr>
                <w:rFonts w:ascii="Arial" w:hAnsi="Arial" w:cs="Calibri"/>
                <w:b/>
              </w:rPr>
            </w:pPr>
            <w:r w:rsidRPr="002E6D04">
              <w:rPr>
                <w:rFonts w:ascii="Arial" w:hAnsi="Arial" w:cs="Calibri"/>
                <w:b/>
              </w:rPr>
              <w:t>(%)</w:t>
            </w:r>
          </w:p>
        </w:tc>
      </w:tr>
      <w:tr w:rsidR="00486D66" w:rsidRPr="002E6D04" w:rsidTr="00B46A34">
        <w:tc>
          <w:tcPr>
            <w:tcW w:w="5812"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Ekologičtí radikálové</w:t>
            </w:r>
          </w:p>
        </w:tc>
        <w:tc>
          <w:tcPr>
            <w:tcW w:w="851" w:type="dxa"/>
            <w:tcBorders>
              <w:top w:val="single" w:sz="6" w:space="0" w:color="auto"/>
              <w:left w:val="single" w:sz="6" w:space="0" w:color="auto"/>
              <w:bottom w:val="single" w:sz="6" w:space="0" w:color="auto"/>
              <w:right w:val="single" w:sz="6" w:space="0" w:color="auto"/>
            </w:tcBorders>
          </w:tcPr>
          <w:p w:rsidR="00486D66" w:rsidRPr="002E6D04" w:rsidRDefault="00486D66" w:rsidP="000F2CA2">
            <w:pPr>
              <w:spacing w:after="120" w:line="240" w:lineRule="auto"/>
              <w:ind w:right="58"/>
              <w:jc w:val="center"/>
              <w:rPr>
                <w:rFonts w:ascii="Arial" w:hAnsi="Arial" w:cs="Calibri"/>
              </w:rPr>
            </w:pPr>
            <w:r w:rsidRPr="002E6D04">
              <w:rPr>
                <w:rFonts w:ascii="Arial" w:hAnsi="Arial" w:cs="Calibri"/>
              </w:rPr>
              <w:t>14,4</w:t>
            </w:r>
          </w:p>
        </w:tc>
      </w:tr>
      <w:tr w:rsidR="00486D66" w:rsidRPr="002E6D04" w:rsidTr="00B46A34">
        <w:tc>
          <w:tcPr>
            <w:tcW w:w="5812" w:type="dxa"/>
            <w:tcBorders>
              <w:top w:val="single" w:sz="6" w:space="0" w:color="auto"/>
              <w:left w:val="single" w:sz="6" w:space="0" w:color="auto"/>
              <w:bottom w:val="single" w:sz="6" w:space="0" w:color="auto"/>
              <w:right w:val="single" w:sz="6" w:space="0" w:color="auto"/>
            </w:tcBorders>
            <w:vAlign w:val="center"/>
          </w:tcPr>
          <w:p w:rsidR="00486D66" w:rsidRPr="002E6D04" w:rsidRDefault="00486D66" w:rsidP="002E6D04">
            <w:pPr>
              <w:spacing w:after="120" w:line="240" w:lineRule="auto"/>
              <w:ind w:firstLine="5"/>
              <w:rPr>
                <w:rFonts w:ascii="Arial" w:hAnsi="Arial" w:cs="Calibri"/>
              </w:rPr>
            </w:pPr>
            <w:r w:rsidRPr="002E6D04">
              <w:rPr>
                <w:rFonts w:ascii="Arial" w:hAnsi="Arial" w:cs="Calibri"/>
              </w:rPr>
              <w:t>Příznivci Dělnické strany sociální spravedlnosti</w:t>
            </w:r>
          </w:p>
        </w:tc>
        <w:tc>
          <w:tcPr>
            <w:tcW w:w="851" w:type="dxa"/>
            <w:tcBorders>
              <w:top w:val="single" w:sz="6" w:space="0" w:color="auto"/>
              <w:left w:val="single" w:sz="6" w:space="0" w:color="auto"/>
              <w:bottom w:val="single" w:sz="6" w:space="0" w:color="auto"/>
              <w:right w:val="single" w:sz="6" w:space="0" w:color="auto"/>
            </w:tcBorders>
          </w:tcPr>
          <w:p w:rsidR="00486D66" w:rsidRPr="002E6D04" w:rsidRDefault="00486D66" w:rsidP="000F2CA2">
            <w:pPr>
              <w:spacing w:after="120" w:line="240" w:lineRule="auto"/>
              <w:ind w:right="62"/>
              <w:jc w:val="center"/>
              <w:rPr>
                <w:rFonts w:ascii="Arial" w:hAnsi="Arial" w:cs="Calibri"/>
              </w:rPr>
            </w:pPr>
            <w:r w:rsidRPr="002E6D04">
              <w:rPr>
                <w:rFonts w:ascii="Arial" w:hAnsi="Arial" w:cs="Calibri"/>
              </w:rPr>
              <w:t>8,6</w:t>
            </w:r>
          </w:p>
        </w:tc>
      </w:tr>
      <w:tr w:rsidR="00486D66" w:rsidRPr="002E6D04" w:rsidTr="00B46A34">
        <w:tc>
          <w:tcPr>
            <w:tcW w:w="5812"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Anarchisté</w:t>
            </w:r>
          </w:p>
        </w:tc>
        <w:tc>
          <w:tcPr>
            <w:tcW w:w="851" w:type="dxa"/>
            <w:tcBorders>
              <w:top w:val="single" w:sz="6" w:space="0" w:color="auto"/>
              <w:left w:val="single" w:sz="6" w:space="0" w:color="auto"/>
              <w:bottom w:val="single" w:sz="6" w:space="0" w:color="auto"/>
              <w:right w:val="single" w:sz="6" w:space="0" w:color="auto"/>
            </w:tcBorders>
          </w:tcPr>
          <w:p w:rsidR="00486D66" w:rsidRPr="002E6D04" w:rsidRDefault="00486D66" w:rsidP="000F2CA2">
            <w:pPr>
              <w:spacing w:after="120" w:line="240" w:lineRule="auto"/>
              <w:ind w:right="58"/>
              <w:jc w:val="center"/>
              <w:rPr>
                <w:rFonts w:ascii="Arial" w:hAnsi="Arial" w:cs="Calibri"/>
              </w:rPr>
            </w:pPr>
            <w:r w:rsidRPr="002E6D04">
              <w:rPr>
                <w:rFonts w:ascii="Arial" w:hAnsi="Arial" w:cs="Calibri"/>
              </w:rPr>
              <w:t>5,4</w:t>
            </w:r>
          </w:p>
        </w:tc>
      </w:tr>
      <w:tr w:rsidR="00486D66" w:rsidRPr="002E6D04" w:rsidTr="00B46A34">
        <w:tc>
          <w:tcPr>
            <w:tcW w:w="5812"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Antifa</w:t>
            </w:r>
          </w:p>
        </w:tc>
        <w:tc>
          <w:tcPr>
            <w:tcW w:w="851" w:type="dxa"/>
            <w:tcBorders>
              <w:top w:val="single" w:sz="6" w:space="0" w:color="auto"/>
              <w:left w:val="single" w:sz="6" w:space="0" w:color="auto"/>
              <w:bottom w:val="single" w:sz="6" w:space="0" w:color="auto"/>
              <w:right w:val="single" w:sz="6" w:space="0" w:color="auto"/>
            </w:tcBorders>
          </w:tcPr>
          <w:p w:rsidR="00486D66" w:rsidRPr="002E6D04" w:rsidRDefault="00486D66" w:rsidP="000F2CA2">
            <w:pPr>
              <w:spacing w:after="120" w:line="240" w:lineRule="auto"/>
              <w:ind w:right="62"/>
              <w:jc w:val="center"/>
              <w:rPr>
                <w:rFonts w:ascii="Arial" w:hAnsi="Arial" w:cs="Calibri"/>
              </w:rPr>
            </w:pPr>
            <w:r w:rsidRPr="002E6D04">
              <w:rPr>
                <w:rFonts w:ascii="Arial" w:hAnsi="Arial" w:cs="Calibri"/>
              </w:rPr>
              <w:t>4,6</w:t>
            </w:r>
          </w:p>
        </w:tc>
      </w:tr>
      <w:tr w:rsidR="00486D66" w:rsidRPr="002E6D04" w:rsidTr="00B46A34">
        <w:tc>
          <w:tcPr>
            <w:tcW w:w="5812"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Squatteři</w:t>
            </w:r>
          </w:p>
        </w:tc>
        <w:tc>
          <w:tcPr>
            <w:tcW w:w="851" w:type="dxa"/>
            <w:tcBorders>
              <w:top w:val="single" w:sz="6" w:space="0" w:color="auto"/>
              <w:left w:val="single" w:sz="6" w:space="0" w:color="auto"/>
              <w:bottom w:val="single" w:sz="6" w:space="0" w:color="auto"/>
              <w:right w:val="single" w:sz="6" w:space="0" w:color="auto"/>
            </w:tcBorders>
          </w:tcPr>
          <w:p w:rsidR="00486D66" w:rsidRPr="002E6D04" w:rsidRDefault="00486D66" w:rsidP="000F2CA2">
            <w:pPr>
              <w:spacing w:after="120" w:line="240" w:lineRule="auto"/>
              <w:ind w:right="62"/>
              <w:jc w:val="center"/>
              <w:rPr>
                <w:rFonts w:ascii="Arial" w:hAnsi="Arial" w:cs="Calibri"/>
              </w:rPr>
            </w:pPr>
            <w:r w:rsidRPr="002E6D04">
              <w:rPr>
                <w:rFonts w:ascii="Arial" w:hAnsi="Arial" w:cs="Calibri"/>
              </w:rPr>
              <w:t>4,0</w:t>
            </w:r>
          </w:p>
        </w:tc>
      </w:tr>
      <w:tr w:rsidR="00486D66" w:rsidRPr="002E6D04" w:rsidTr="00B46A34">
        <w:tc>
          <w:tcPr>
            <w:tcW w:w="5812" w:type="dxa"/>
            <w:tcBorders>
              <w:top w:val="single" w:sz="6" w:space="0" w:color="auto"/>
              <w:left w:val="single" w:sz="6" w:space="0" w:color="auto"/>
              <w:bottom w:val="single" w:sz="6" w:space="0" w:color="auto"/>
              <w:right w:val="single" w:sz="6" w:space="0" w:color="auto"/>
            </w:tcBorders>
            <w:vAlign w:val="center"/>
          </w:tcPr>
          <w:p w:rsidR="00486D66" w:rsidRPr="002E6D04" w:rsidRDefault="00486D66" w:rsidP="002E6D04">
            <w:pPr>
              <w:spacing w:after="120" w:line="240" w:lineRule="auto"/>
              <w:rPr>
                <w:rFonts w:ascii="Arial" w:hAnsi="Arial" w:cs="Calibri"/>
              </w:rPr>
            </w:pPr>
            <w:r w:rsidRPr="002E6D04">
              <w:rPr>
                <w:rFonts w:ascii="Arial" w:hAnsi="Arial" w:cs="Calibri"/>
              </w:rPr>
              <w:t>S.H.A.R.P.- protirasističtí skinheads</w:t>
            </w:r>
          </w:p>
        </w:tc>
        <w:tc>
          <w:tcPr>
            <w:tcW w:w="851" w:type="dxa"/>
            <w:tcBorders>
              <w:top w:val="single" w:sz="6" w:space="0" w:color="auto"/>
              <w:left w:val="single" w:sz="6" w:space="0" w:color="auto"/>
              <w:bottom w:val="single" w:sz="6" w:space="0" w:color="auto"/>
              <w:right w:val="single" w:sz="6" w:space="0" w:color="auto"/>
            </w:tcBorders>
          </w:tcPr>
          <w:p w:rsidR="00486D66" w:rsidRPr="002E6D04" w:rsidRDefault="00486D66" w:rsidP="000F2CA2">
            <w:pPr>
              <w:spacing w:after="120" w:line="240" w:lineRule="auto"/>
              <w:ind w:right="62"/>
              <w:jc w:val="center"/>
              <w:rPr>
                <w:rFonts w:ascii="Arial" w:hAnsi="Arial" w:cs="Calibri"/>
              </w:rPr>
            </w:pPr>
            <w:r w:rsidRPr="002E6D04">
              <w:rPr>
                <w:rFonts w:ascii="Arial" w:hAnsi="Arial" w:cs="Calibri"/>
              </w:rPr>
              <w:t>3,2</w:t>
            </w:r>
          </w:p>
        </w:tc>
      </w:tr>
      <w:tr w:rsidR="00486D66" w:rsidRPr="002E6D04" w:rsidTr="00B46A34">
        <w:tc>
          <w:tcPr>
            <w:tcW w:w="5812"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Pravicoví skinheads</w:t>
            </w:r>
          </w:p>
        </w:tc>
        <w:tc>
          <w:tcPr>
            <w:tcW w:w="851" w:type="dxa"/>
            <w:tcBorders>
              <w:top w:val="single" w:sz="6" w:space="0" w:color="auto"/>
              <w:left w:val="single" w:sz="6" w:space="0" w:color="auto"/>
              <w:bottom w:val="single" w:sz="6" w:space="0" w:color="auto"/>
              <w:right w:val="single" w:sz="6" w:space="0" w:color="auto"/>
            </w:tcBorders>
          </w:tcPr>
          <w:p w:rsidR="00486D66" w:rsidRPr="002E6D04" w:rsidRDefault="00486D66" w:rsidP="000F2CA2">
            <w:pPr>
              <w:spacing w:after="120" w:line="240" w:lineRule="auto"/>
              <w:ind w:right="62"/>
              <w:jc w:val="center"/>
              <w:rPr>
                <w:rFonts w:ascii="Arial" w:hAnsi="Arial" w:cs="Calibri"/>
              </w:rPr>
            </w:pPr>
            <w:r w:rsidRPr="002E6D04">
              <w:rPr>
                <w:rFonts w:ascii="Arial" w:hAnsi="Arial" w:cs="Calibri"/>
              </w:rPr>
              <w:t>2,9</w:t>
            </w:r>
          </w:p>
        </w:tc>
      </w:tr>
      <w:tr w:rsidR="00486D66" w:rsidRPr="002E6D04" w:rsidTr="00B46A34">
        <w:tc>
          <w:tcPr>
            <w:tcW w:w="5812"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Mladí komunisté</w:t>
            </w:r>
          </w:p>
        </w:tc>
        <w:tc>
          <w:tcPr>
            <w:tcW w:w="851" w:type="dxa"/>
            <w:tcBorders>
              <w:top w:val="single" w:sz="6" w:space="0" w:color="auto"/>
              <w:left w:val="single" w:sz="6" w:space="0" w:color="auto"/>
              <w:bottom w:val="single" w:sz="6" w:space="0" w:color="auto"/>
              <w:right w:val="single" w:sz="6" w:space="0" w:color="auto"/>
            </w:tcBorders>
          </w:tcPr>
          <w:p w:rsidR="00486D66" w:rsidRPr="002E6D04" w:rsidRDefault="00486D66" w:rsidP="000F2CA2">
            <w:pPr>
              <w:spacing w:after="120" w:line="240" w:lineRule="auto"/>
              <w:ind w:right="62"/>
              <w:jc w:val="center"/>
              <w:rPr>
                <w:rFonts w:ascii="Arial" w:hAnsi="Arial" w:cs="Calibri"/>
              </w:rPr>
            </w:pPr>
            <w:r w:rsidRPr="002E6D04">
              <w:rPr>
                <w:rFonts w:ascii="Arial" w:hAnsi="Arial" w:cs="Calibri"/>
              </w:rPr>
              <w:t>2,7</w:t>
            </w:r>
          </w:p>
        </w:tc>
      </w:tr>
      <w:tr w:rsidR="00486D66" w:rsidRPr="002E6D04" w:rsidTr="00B46A34">
        <w:tc>
          <w:tcPr>
            <w:tcW w:w="5812" w:type="dxa"/>
            <w:tcBorders>
              <w:top w:val="single" w:sz="6" w:space="0" w:color="auto"/>
              <w:left w:val="single" w:sz="6" w:space="0" w:color="auto"/>
              <w:bottom w:val="single" w:sz="6" w:space="0" w:color="auto"/>
              <w:right w:val="single" w:sz="6" w:space="0" w:color="auto"/>
            </w:tcBorders>
            <w:vAlign w:val="center"/>
          </w:tcPr>
          <w:p w:rsidR="00486D66" w:rsidRPr="002E6D04" w:rsidRDefault="00486D66" w:rsidP="002E6D04">
            <w:pPr>
              <w:spacing w:after="120" w:line="240" w:lineRule="auto"/>
              <w:ind w:firstLine="5"/>
              <w:rPr>
                <w:rFonts w:ascii="Arial" w:hAnsi="Arial" w:cs="Calibri"/>
              </w:rPr>
            </w:pPr>
            <w:r w:rsidRPr="002E6D04">
              <w:rPr>
                <w:rFonts w:ascii="Arial" w:hAnsi="Arial" w:cs="Calibri"/>
              </w:rPr>
              <w:t>Neonacisté (např. Národní odpor)</w:t>
            </w:r>
          </w:p>
        </w:tc>
        <w:tc>
          <w:tcPr>
            <w:tcW w:w="851" w:type="dxa"/>
            <w:tcBorders>
              <w:top w:val="single" w:sz="6" w:space="0" w:color="auto"/>
              <w:left w:val="single" w:sz="6" w:space="0" w:color="auto"/>
              <w:bottom w:val="single" w:sz="6" w:space="0" w:color="auto"/>
              <w:right w:val="single" w:sz="6" w:space="0" w:color="auto"/>
            </w:tcBorders>
          </w:tcPr>
          <w:p w:rsidR="00486D66" w:rsidRPr="002E6D04" w:rsidRDefault="00486D66" w:rsidP="000F2CA2">
            <w:pPr>
              <w:spacing w:after="120" w:line="240" w:lineRule="auto"/>
              <w:ind w:right="62"/>
              <w:jc w:val="center"/>
              <w:rPr>
                <w:rFonts w:ascii="Arial" w:hAnsi="Arial" w:cs="Calibri"/>
              </w:rPr>
            </w:pPr>
            <w:r w:rsidRPr="002E6D04">
              <w:rPr>
                <w:rFonts w:ascii="Arial" w:hAnsi="Arial" w:cs="Calibri"/>
              </w:rPr>
              <w:t>1,8</w:t>
            </w:r>
          </w:p>
        </w:tc>
      </w:tr>
      <w:tr w:rsidR="00486D66" w:rsidRPr="002E6D04" w:rsidTr="00B46A34">
        <w:tc>
          <w:tcPr>
            <w:tcW w:w="5812"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Český KuKluxKlan</w:t>
            </w:r>
          </w:p>
        </w:tc>
        <w:tc>
          <w:tcPr>
            <w:tcW w:w="851" w:type="dxa"/>
            <w:tcBorders>
              <w:top w:val="single" w:sz="6" w:space="0" w:color="auto"/>
              <w:left w:val="single" w:sz="6" w:space="0" w:color="auto"/>
              <w:bottom w:val="single" w:sz="6" w:space="0" w:color="auto"/>
              <w:right w:val="single" w:sz="6" w:space="0" w:color="auto"/>
            </w:tcBorders>
          </w:tcPr>
          <w:p w:rsidR="00486D66" w:rsidRPr="002E6D04" w:rsidRDefault="00486D66" w:rsidP="000F2CA2">
            <w:pPr>
              <w:spacing w:after="120" w:line="240" w:lineRule="auto"/>
              <w:ind w:right="62"/>
              <w:jc w:val="center"/>
              <w:rPr>
                <w:rFonts w:ascii="Arial" w:hAnsi="Arial" w:cs="Calibri"/>
              </w:rPr>
            </w:pPr>
            <w:r w:rsidRPr="002E6D04">
              <w:rPr>
                <w:rFonts w:ascii="Arial" w:hAnsi="Arial" w:cs="Calibri"/>
              </w:rPr>
              <w:t>1,8</w:t>
            </w:r>
          </w:p>
        </w:tc>
      </w:tr>
      <w:tr w:rsidR="00486D66" w:rsidRPr="002E6D04" w:rsidTr="00B46A34">
        <w:tc>
          <w:tcPr>
            <w:tcW w:w="5812"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Autonomní nacionalisté</w:t>
            </w:r>
          </w:p>
        </w:tc>
        <w:tc>
          <w:tcPr>
            <w:tcW w:w="851" w:type="dxa"/>
            <w:tcBorders>
              <w:top w:val="single" w:sz="6" w:space="0" w:color="auto"/>
              <w:left w:val="single" w:sz="6" w:space="0" w:color="auto"/>
              <w:bottom w:val="single" w:sz="6" w:space="0" w:color="auto"/>
              <w:right w:val="single" w:sz="6" w:space="0" w:color="auto"/>
            </w:tcBorders>
          </w:tcPr>
          <w:p w:rsidR="00486D66" w:rsidRPr="002E6D04" w:rsidRDefault="00486D66" w:rsidP="000F2CA2">
            <w:pPr>
              <w:spacing w:after="120" w:line="240" w:lineRule="auto"/>
              <w:ind w:right="62"/>
              <w:jc w:val="center"/>
              <w:rPr>
                <w:rFonts w:ascii="Arial" w:hAnsi="Arial" w:cs="Calibri"/>
              </w:rPr>
            </w:pPr>
            <w:r w:rsidRPr="002E6D04">
              <w:rPr>
                <w:rFonts w:ascii="Arial" w:hAnsi="Arial" w:cs="Calibri"/>
              </w:rPr>
              <w:t>1,0</w:t>
            </w:r>
          </w:p>
        </w:tc>
      </w:tr>
      <w:tr w:rsidR="00486D66" w:rsidRPr="002E6D04" w:rsidTr="00B46A34">
        <w:tc>
          <w:tcPr>
            <w:tcW w:w="5812" w:type="dxa"/>
            <w:tcBorders>
              <w:top w:val="single" w:sz="6" w:space="0" w:color="auto"/>
              <w:left w:val="single" w:sz="6" w:space="0" w:color="auto"/>
              <w:bottom w:val="single" w:sz="6" w:space="0" w:color="auto"/>
              <w:right w:val="single" w:sz="6" w:space="0" w:color="auto"/>
            </w:tcBorders>
            <w:vAlign w:val="center"/>
          </w:tcPr>
          <w:p w:rsidR="00486D66" w:rsidRPr="002E6D04" w:rsidRDefault="00486D66" w:rsidP="002E6D04">
            <w:pPr>
              <w:spacing w:after="120" w:line="240" w:lineRule="auto"/>
              <w:ind w:left="10" w:hanging="10"/>
              <w:rPr>
                <w:rFonts w:ascii="Arial" w:hAnsi="Arial" w:cs="Calibri"/>
              </w:rPr>
            </w:pPr>
            <w:r w:rsidRPr="002E6D04">
              <w:rPr>
                <w:rFonts w:ascii="Arial" w:hAnsi="Arial" w:cs="Calibri"/>
              </w:rPr>
              <w:t>Žádné ze jmenovaných hnutí mi není ani trochu sympatické</w:t>
            </w:r>
          </w:p>
        </w:tc>
        <w:tc>
          <w:tcPr>
            <w:tcW w:w="851" w:type="dxa"/>
            <w:tcBorders>
              <w:top w:val="single" w:sz="6" w:space="0" w:color="auto"/>
              <w:left w:val="single" w:sz="6" w:space="0" w:color="auto"/>
              <w:bottom w:val="single" w:sz="6" w:space="0" w:color="auto"/>
              <w:right w:val="single" w:sz="6" w:space="0" w:color="auto"/>
            </w:tcBorders>
          </w:tcPr>
          <w:p w:rsidR="00486D66" w:rsidRPr="002E6D04" w:rsidRDefault="00486D66" w:rsidP="000F2CA2">
            <w:pPr>
              <w:spacing w:after="120" w:line="240" w:lineRule="auto"/>
              <w:ind w:right="62"/>
              <w:jc w:val="center"/>
              <w:rPr>
                <w:rFonts w:ascii="Arial" w:hAnsi="Arial" w:cs="Calibri"/>
              </w:rPr>
            </w:pPr>
            <w:r w:rsidRPr="002E6D04">
              <w:rPr>
                <w:rFonts w:ascii="Arial" w:hAnsi="Arial" w:cs="Calibri"/>
              </w:rPr>
              <w:t>49,6</w:t>
            </w:r>
          </w:p>
        </w:tc>
      </w:tr>
      <w:tr w:rsidR="00486D66" w:rsidRPr="002E6D04" w:rsidTr="00B46A34">
        <w:tc>
          <w:tcPr>
            <w:tcW w:w="5812" w:type="dxa"/>
            <w:tcBorders>
              <w:top w:val="single" w:sz="6" w:space="0" w:color="auto"/>
              <w:left w:val="single" w:sz="6" w:space="0" w:color="auto"/>
              <w:bottom w:val="single" w:sz="6" w:space="0" w:color="auto"/>
              <w:right w:val="single" w:sz="6" w:space="0" w:color="auto"/>
            </w:tcBorders>
          </w:tcPr>
          <w:p w:rsidR="00486D66" w:rsidRPr="002E6D04" w:rsidRDefault="00486D66" w:rsidP="002E6D04">
            <w:pPr>
              <w:spacing w:after="120" w:line="240" w:lineRule="auto"/>
              <w:rPr>
                <w:rFonts w:ascii="Arial" w:hAnsi="Arial" w:cs="Calibri"/>
              </w:rPr>
            </w:pPr>
            <w:r w:rsidRPr="002E6D04">
              <w:rPr>
                <w:rFonts w:ascii="Arial" w:hAnsi="Arial" w:cs="Calibri"/>
              </w:rPr>
              <w:t>Total</w:t>
            </w:r>
          </w:p>
        </w:tc>
        <w:tc>
          <w:tcPr>
            <w:tcW w:w="851" w:type="dxa"/>
            <w:tcBorders>
              <w:top w:val="single" w:sz="6" w:space="0" w:color="auto"/>
              <w:left w:val="single" w:sz="6" w:space="0" w:color="auto"/>
              <w:bottom w:val="single" w:sz="6" w:space="0" w:color="auto"/>
              <w:right w:val="single" w:sz="6" w:space="0" w:color="auto"/>
            </w:tcBorders>
          </w:tcPr>
          <w:p w:rsidR="00486D66" w:rsidRPr="002E6D04" w:rsidRDefault="00486D66" w:rsidP="000F2CA2">
            <w:pPr>
              <w:spacing w:after="120" w:line="240" w:lineRule="auto"/>
              <w:ind w:right="62"/>
              <w:jc w:val="center"/>
              <w:rPr>
                <w:rFonts w:ascii="Arial" w:hAnsi="Arial" w:cs="Calibri"/>
              </w:rPr>
            </w:pPr>
            <w:r w:rsidRPr="002E6D04">
              <w:rPr>
                <w:rFonts w:ascii="Arial" w:hAnsi="Arial" w:cs="Calibri"/>
              </w:rPr>
              <w:t>100,0</w:t>
            </w:r>
          </w:p>
        </w:tc>
      </w:tr>
    </w:tbl>
    <w:p w:rsidR="00486D66" w:rsidRPr="002E6D04" w:rsidRDefault="00486D66" w:rsidP="002E6D04">
      <w:pPr>
        <w:spacing w:after="120" w:line="240" w:lineRule="auto"/>
        <w:rPr>
          <w:rFonts w:ascii="Arial" w:hAnsi="Arial" w:cs="Calibri"/>
          <w:u w:val="single"/>
        </w:rPr>
      </w:pPr>
    </w:p>
    <w:p w:rsidR="00486D66" w:rsidRPr="002E6D04" w:rsidRDefault="00486D66" w:rsidP="002E6D04">
      <w:pPr>
        <w:spacing w:after="120" w:line="240" w:lineRule="auto"/>
        <w:rPr>
          <w:rFonts w:ascii="Arial" w:hAnsi="Arial" w:cs="Calibri"/>
        </w:rPr>
      </w:pPr>
      <w:r w:rsidRPr="002E6D04">
        <w:rPr>
          <w:rFonts w:ascii="Arial" w:hAnsi="Arial" w:cs="Calibri"/>
          <w:u w:val="single"/>
        </w:rPr>
        <w:t>Největší sympatie</w:t>
      </w:r>
      <w:r w:rsidRPr="002E6D04">
        <w:rPr>
          <w:rFonts w:ascii="Arial" w:hAnsi="Arial" w:cs="Calibri"/>
        </w:rPr>
        <w:t xml:space="preserve"> budí radikální ekologové, i když v 90tých letech byla jejich obliba vyšší – až 25%. Každý dvanáctý teenager sympatizuje s Dělnickou stranou; připočteme-li k tomu sympatizanty s pravicovými skinheads, otevřenými neonacisty a „imaginárním“ Ku-Klux-Klanem, dostáváme se na 16% podporu ultrapravice.  Zhruba stejné zázemí příznivců (17%) má i opačný tábor – tedy anarchisticko / antifašistické skupiny (včetně protirasistických skinheads). </w:t>
      </w:r>
    </w:p>
    <w:p w:rsidR="00486D66" w:rsidRPr="002E6D04" w:rsidRDefault="00486D66" w:rsidP="002E6D04">
      <w:pPr>
        <w:spacing w:after="120" w:line="240" w:lineRule="auto"/>
        <w:rPr>
          <w:rFonts w:ascii="Arial" w:hAnsi="Arial" w:cs="Calibri"/>
        </w:rPr>
      </w:pPr>
      <w:r w:rsidRPr="002E6D04">
        <w:rPr>
          <w:rFonts w:ascii="Arial" w:hAnsi="Arial" w:cs="Calibri"/>
        </w:rPr>
        <w:t>Pokud sympatizuji s některým radikálním politickým směrem, lze předpokládat, že se jej budu snažit nějakým způsobem podpořit. Nejobvyklejší způsob je účast na některé veřejné akci, jako je demonstrace nebo pochod. Jak již bylo řečeno, polovina dotázaných nesympatizuje s žádným z vyjmenovaných hnutí a tedy se ani neúčastní žádných akcí. Více než čtvrtina ale o budoucí účasti uvažuje, 15 % se výjimečně účastnilo a malá část je skutečně aktivní (připomeňme ale znovu, že jde o děti z velké části pod 18 let věku).</w:t>
      </w:r>
    </w:p>
    <w:p w:rsidR="00486D66" w:rsidRPr="002E6D04" w:rsidRDefault="00486D66" w:rsidP="002E6D04">
      <w:pPr>
        <w:spacing w:after="120" w:line="240" w:lineRule="auto"/>
        <w:rPr>
          <w:rFonts w:ascii="Arial" w:hAnsi="Arial" w:cs="Calibri"/>
          <w:b/>
          <w:u w:val="single"/>
        </w:rPr>
      </w:pPr>
      <w:r w:rsidRPr="002E6D04">
        <w:rPr>
          <w:rFonts w:ascii="Arial" w:hAnsi="Arial" w:cs="Calibri"/>
          <w:b/>
          <w:u w:val="single"/>
        </w:rPr>
        <w:t>Obsahová analýza krajně pravicových a krajně levicových webových stránek</w:t>
      </w:r>
    </w:p>
    <w:p w:rsidR="00486D66" w:rsidRPr="002E6D04" w:rsidRDefault="00486D66" w:rsidP="002E6D04">
      <w:pPr>
        <w:autoSpaceDE w:val="0"/>
        <w:autoSpaceDN w:val="0"/>
        <w:adjustRightInd w:val="0"/>
        <w:spacing w:after="120" w:line="240" w:lineRule="auto"/>
        <w:rPr>
          <w:rFonts w:ascii="Arial" w:hAnsi="Arial" w:cs="Calibri"/>
          <w:bCs/>
        </w:rPr>
      </w:pPr>
      <w:r w:rsidRPr="002E6D04">
        <w:rPr>
          <w:rFonts w:ascii="Arial" w:hAnsi="Arial" w:cs="Calibri"/>
          <w:bCs/>
        </w:rPr>
        <w:t xml:space="preserve">Analýza se zaměřila na definování toho, jakých podob nabývá propagace a propaganda současných krajně pravicových a krajně levicových internetových stránek, tzn. jakým způsobem komunikují tyto weby se svými čtenáři a potencionálními sympatizanty a členy. Kromě jednotlivých mobilizačních témat byly analyzovány jednotlivé prostředky tvorby identity, mobilizace a rekrutace, včetně technických nástrojů a webových aplikací.   </w:t>
      </w:r>
    </w:p>
    <w:p w:rsidR="00486D66" w:rsidRPr="002E6D04" w:rsidRDefault="00486D66" w:rsidP="002E6D04">
      <w:pPr>
        <w:autoSpaceDE w:val="0"/>
        <w:autoSpaceDN w:val="0"/>
        <w:adjustRightInd w:val="0"/>
        <w:spacing w:after="120" w:line="240" w:lineRule="auto"/>
        <w:rPr>
          <w:rFonts w:ascii="Arial" w:hAnsi="Arial" w:cs="Calibri"/>
        </w:rPr>
      </w:pPr>
      <w:r w:rsidRPr="002E6D04">
        <w:rPr>
          <w:rFonts w:ascii="Arial" w:hAnsi="Arial" w:cs="Calibri"/>
        </w:rPr>
        <w:t>Obsahová analýza směřuje k poznání atributů, které dávají význam vnitřní a vnější komunikaci extremistických a radikálních skupin:</w:t>
      </w:r>
    </w:p>
    <w:p w:rsidR="00486D66" w:rsidRPr="002E6D04" w:rsidRDefault="00486D66" w:rsidP="002E6D04">
      <w:pPr>
        <w:numPr>
          <w:ilvl w:val="0"/>
          <w:numId w:val="1"/>
        </w:numPr>
        <w:autoSpaceDE w:val="0"/>
        <w:autoSpaceDN w:val="0"/>
        <w:adjustRightInd w:val="0"/>
        <w:spacing w:after="120" w:line="240" w:lineRule="auto"/>
        <w:rPr>
          <w:rFonts w:ascii="Arial" w:hAnsi="Arial" w:cs="Calibri"/>
        </w:rPr>
      </w:pPr>
      <w:r w:rsidRPr="002E6D04">
        <w:rPr>
          <w:rFonts w:ascii="Arial" w:hAnsi="Arial" w:cs="Calibri"/>
        </w:rPr>
        <w:t>Mobilizační témata</w:t>
      </w:r>
    </w:p>
    <w:p w:rsidR="00486D66" w:rsidRPr="002E6D04" w:rsidRDefault="00486D66" w:rsidP="002E6D04">
      <w:pPr>
        <w:numPr>
          <w:ilvl w:val="0"/>
          <w:numId w:val="1"/>
        </w:numPr>
        <w:autoSpaceDE w:val="0"/>
        <w:autoSpaceDN w:val="0"/>
        <w:adjustRightInd w:val="0"/>
        <w:spacing w:after="120" w:line="240" w:lineRule="auto"/>
        <w:rPr>
          <w:rFonts w:ascii="Arial" w:hAnsi="Arial" w:cs="Calibri"/>
        </w:rPr>
      </w:pPr>
      <w:r w:rsidRPr="002E6D04">
        <w:rPr>
          <w:rFonts w:ascii="Arial" w:hAnsi="Arial" w:cs="Calibri"/>
        </w:rPr>
        <w:t>Propaganda (vnitřní; vnější)</w:t>
      </w:r>
    </w:p>
    <w:p w:rsidR="00486D66" w:rsidRPr="002E6D04" w:rsidRDefault="00486D66" w:rsidP="002E6D04">
      <w:pPr>
        <w:numPr>
          <w:ilvl w:val="0"/>
          <w:numId w:val="1"/>
        </w:numPr>
        <w:autoSpaceDE w:val="0"/>
        <w:autoSpaceDN w:val="0"/>
        <w:adjustRightInd w:val="0"/>
        <w:spacing w:after="120" w:line="240" w:lineRule="auto"/>
        <w:rPr>
          <w:rFonts w:ascii="Arial" w:hAnsi="Arial" w:cs="Calibri"/>
        </w:rPr>
      </w:pPr>
      <w:r w:rsidRPr="002E6D04">
        <w:rPr>
          <w:rFonts w:ascii="Arial" w:hAnsi="Arial" w:cs="Calibri"/>
        </w:rPr>
        <w:t>Definování a formování identity včetně užitých nástrojů</w:t>
      </w:r>
    </w:p>
    <w:p w:rsidR="00486D66" w:rsidRPr="002E6D04" w:rsidRDefault="00486D66" w:rsidP="002E6D04">
      <w:pPr>
        <w:numPr>
          <w:ilvl w:val="0"/>
          <w:numId w:val="1"/>
        </w:numPr>
        <w:autoSpaceDE w:val="0"/>
        <w:autoSpaceDN w:val="0"/>
        <w:adjustRightInd w:val="0"/>
        <w:spacing w:after="120" w:line="240" w:lineRule="auto"/>
        <w:rPr>
          <w:rFonts w:ascii="Arial" w:hAnsi="Arial" w:cs="Calibri"/>
        </w:rPr>
      </w:pPr>
      <w:r w:rsidRPr="002E6D04">
        <w:rPr>
          <w:rFonts w:ascii="Arial" w:hAnsi="Arial" w:cs="Calibri"/>
        </w:rPr>
        <w:t>Způsoby mobilizace a rekrutace</w:t>
      </w:r>
    </w:p>
    <w:p w:rsidR="00486D66" w:rsidRPr="002E6D04" w:rsidRDefault="00486D66" w:rsidP="002E6D04">
      <w:pPr>
        <w:autoSpaceDE w:val="0"/>
        <w:autoSpaceDN w:val="0"/>
        <w:adjustRightInd w:val="0"/>
        <w:spacing w:after="120" w:line="240" w:lineRule="auto"/>
        <w:rPr>
          <w:rFonts w:ascii="Arial" w:hAnsi="Arial" w:cs="Calibri"/>
          <w:u w:val="single"/>
        </w:rPr>
      </w:pPr>
      <w:r w:rsidRPr="002E6D04">
        <w:rPr>
          <w:rFonts w:ascii="Arial" w:hAnsi="Arial" w:cs="Calibri"/>
          <w:u w:val="single"/>
        </w:rPr>
        <w:t>Podotázky:</w:t>
      </w:r>
    </w:p>
    <w:p w:rsidR="00486D66" w:rsidRPr="002E6D04" w:rsidRDefault="00486D66" w:rsidP="002E6D04">
      <w:pPr>
        <w:autoSpaceDE w:val="0"/>
        <w:autoSpaceDN w:val="0"/>
        <w:adjustRightInd w:val="0"/>
        <w:spacing w:after="120" w:line="240" w:lineRule="auto"/>
        <w:rPr>
          <w:rFonts w:ascii="Arial" w:hAnsi="Arial" w:cs="Calibri"/>
        </w:rPr>
      </w:pPr>
      <w:r w:rsidRPr="002E6D04">
        <w:rPr>
          <w:rFonts w:ascii="Arial" w:hAnsi="Arial" w:cs="Calibri"/>
        </w:rPr>
        <w:t>→ Jakým tématům se extremistické a radikální webové stránky věnují? (mobilizační témata)</w:t>
      </w:r>
    </w:p>
    <w:p w:rsidR="00486D66" w:rsidRPr="002E6D04" w:rsidRDefault="00486D66" w:rsidP="002E6D04">
      <w:pPr>
        <w:autoSpaceDE w:val="0"/>
        <w:autoSpaceDN w:val="0"/>
        <w:adjustRightInd w:val="0"/>
        <w:spacing w:after="120" w:line="240" w:lineRule="auto"/>
        <w:rPr>
          <w:rFonts w:ascii="Arial" w:hAnsi="Arial" w:cs="Calibri"/>
        </w:rPr>
      </w:pPr>
      <w:r w:rsidRPr="002E6D04">
        <w:rPr>
          <w:rFonts w:ascii="Arial" w:hAnsi="Arial" w:cs="Calibri"/>
        </w:rPr>
        <w:t>→ Kdo je nejčastěji definován jako nepřítel? (identita, propaganda)</w:t>
      </w:r>
    </w:p>
    <w:p w:rsidR="00486D66" w:rsidRPr="002E6D04" w:rsidRDefault="00486D66" w:rsidP="002E6D04">
      <w:pPr>
        <w:autoSpaceDE w:val="0"/>
        <w:autoSpaceDN w:val="0"/>
        <w:adjustRightInd w:val="0"/>
        <w:spacing w:after="120" w:line="240" w:lineRule="auto"/>
        <w:rPr>
          <w:rFonts w:ascii="Arial" w:hAnsi="Arial" w:cs="Calibri"/>
        </w:rPr>
      </w:pPr>
      <w:r w:rsidRPr="002E6D04">
        <w:rPr>
          <w:rFonts w:ascii="Arial" w:hAnsi="Arial" w:cs="Calibri"/>
        </w:rPr>
        <w:t>→ Jaké slovní označení a nástroje webových stránek používají k sebeidentifikaci? (identita)</w:t>
      </w:r>
    </w:p>
    <w:p w:rsidR="00486D66" w:rsidRPr="002E6D04" w:rsidRDefault="00486D66" w:rsidP="002E6D04">
      <w:pPr>
        <w:autoSpaceDE w:val="0"/>
        <w:autoSpaceDN w:val="0"/>
        <w:adjustRightInd w:val="0"/>
        <w:spacing w:after="120" w:line="240" w:lineRule="auto"/>
        <w:rPr>
          <w:rFonts w:ascii="Arial" w:hAnsi="Arial" w:cs="Calibri"/>
        </w:rPr>
      </w:pPr>
      <w:r w:rsidRPr="002E6D04">
        <w:rPr>
          <w:rFonts w:ascii="Arial" w:hAnsi="Arial" w:cs="Calibri"/>
        </w:rPr>
        <w:t>→ Na jaké z dalších zkoumaných subjektů odkazují? (identita)</w:t>
      </w:r>
    </w:p>
    <w:p w:rsidR="00486D66" w:rsidRPr="002E6D04" w:rsidRDefault="00486D66" w:rsidP="002E6D04">
      <w:pPr>
        <w:autoSpaceDE w:val="0"/>
        <w:autoSpaceDN w:val="0"/>
        <w:adjustRightInd w:val="0"/>
        <w:spacing w:after="120" w:line="240" w:lineRule="auto"/>
        <w:rPr>
          <w:rFonts w:ascii="Arial" w:hAnsi="Arial" w:cs="Calibri"/>
        </w:rPr>
      </w:pPr>
      <w:r w:rsidRPr="002E6D04">
        <w:rPr>
          <w:rFonts w:ascii="Arial" w:hAnsi="Arial" w:cs="Calibri"/>
        </w:rPr>
        <w:t>→ Na jaké komerční subjekty odkazují (e-shopy)? (identita)</w:t>
      </w:r>
    </w:p>
    <w:p w:rsidR="00486D66" w:rsidRPr="002E6D04" w:rsidRDefault="00486D66" w:rsidP="002E6D04">
      <w:pPr>
        <w:autoSpaceDE w:val="0"/>
        <w:autoSpaceDN w:val="0"/>
        <w:adjustRightInd w:val="0"/>
        <w:spacing w:after="120" w:line="240" w:lineRule="auto"/>
        <w:rPr>
          <w:rFonts w:ascii="Arial" w:hAnsi="Arial" w:cs="Calibri"/>
        </w:rPr>
      </w:pPr>
      <w:r w:rsidRPr="002E6D04">
        <w:rPr>
          <w:rFonts w:ascii="Arial" w:hAnsi="Arial" w:cs="Calibri"/>
        </w:rPr>
        <w:t>→Jaké jsou trendy v designu webových stránek (struktura, rubriky, barvy apod.)? (rekrutace/propaganda)</w:t>
      </w:r>
    </w:p>
    <w:p w:rsidR="00486D66" w:rsidRPr="002E6D04" w:rsidRDefault="00486D66" w:rsidP="002E6D04">
      <w:pPr>
        <w:autoSpaceDE w:val="0"/>
        <w:autoSpaceDN w:val="0"/>
        <w:adjustRightInd w:val="0"/>
        <w:spacing w:after="120" w:line="240" w:lineRule="auto"/>
        <w:rPr>
          <w:rFonts w:ascii="Arial" w:hAnsi="Arial" w:cs="Calibri"/>
        </w:rPr>
      </w:pPr>
      <w:r w:rsidRPr="002E6D04">
        <w:rPr>
          <w:rFonts w:ascii="Arial" w:hAnsi="Arial" w:cs="Calibri"/>
        </w:rPr>
        <w:t>→ Jaké nástroje používají pro rekrutaci a mobilizaci (informace o demonstracích, hudba, videa, moderní aplikace apod.)? (mobilizace a rekrutace)</w:t>
      </w:r>
    </w:p>
    <w:p w:rsidR="00486D66" w:rsidRPr="002E6D04" w:rsidRDefault="00486D66" w:rsidP="002E6D04">
      <w:pPr>
        <w:pStyle w:val="ListParagraph"/>
        <w:autoSpaceDE w:val="0"/>
        <w:autoSpaceDN w:val="0"/>
        <w:adjustRightInd w:val="0"/>
        <w:spacing w:after="120"/>
        <w:ind w:left="0"/>
        <w:jc w:val="both"/>
        <w:rPr>
          <w:rFonts w:ascii="Arial" w:hAnsi="Arial" w:cs="Calibri"/>
        </w:rPr>
      </w:pPr>
      <w:r w:rsidRPr="002E6D04">
        <w:rPr>
          <w:rFonts w:ascii="Arial" w:hAnsi="Arial" w:cs="Calibri"/>
        </w:rPr>
        <w:t xml:space="preserve">Zkoumané webové stránky jsou stránky krajně pravicových a krajně levicových subjektů České republiky. Jsou to webové stránky v českém jazyce, které jsou snadno vyhledatelné přes běžné internetové vyhledávače, tzn. snadno přístupné i nezainteresovaným osobám či osobám méně znalým problematiky. Zároveň se jedná o subjekty, které patří mezi akademiky často zmiňované příslušníky krajní levice a krajní pravice. </w:t>
      </w:r>
    </w:p>
    <w:p w:rsidR="00486D66" w:rsidRPr="002E6D04" w:rsidRDefault="00486D66" w:rsidP="002E6D04">
      <w:pPr>
        <w:autoSpaceDE w:val="0"/>
        <w:autoSpaceDN w:val="0"/>
        <w:adjustRightInd w:val="0"/>
        <w:spacing w:after="120" w:line="240" w:lineRule="auto"/>
        <w:rPr>
          <w:rFonts w:ascii="Arial" w:hAnsi="Arial" w:cs="Calibri"/>
        </w:rPr>
      </w:pPr>
      <w:r w:rsidRPr="002E6D04">
        <w:rPr>
          <w:rFonts w:ascii="Arial" w:hAnsi="Arial" w:cs="Calibri"/>
        </w:rPr>
        <w:t>Zkoumány byly webové stránky komplexně, tedy články, zprávy, reporty, audiovizuální materiál, odkazy, nástroje webových stránek. Časově šlo o příspěvky uveřejněné v roce 2011 (do analýzy jsou zahrnuty jen ty webové stránky, které byly v roce 2011 aktivní)</w:t>
      </w:r>
    </w:p>
    <w:p w:rsidR="00486D66" w:rsidRPr="002E6D04" w:rsidRDefault="00486D66" w:rsidP="002E6D04">
      <w:pPr>
        <w:spacing w:after="120" w:line="240" w:lineRule="auto"/>
        <w:rPr>
          <w:rFonts w:ascii="Arial" w:hAnsi="Arial" w:cs="Calibri"/>
          <w:b/>
          <w:u w:val="single"/>
        </w:rPr>
      </w:pPr>
      <w:r w:rsidRPr="002E6D04">
        <w:rPr>
          <w:rFonts w:ascii="Arial" w:hAnsi="Arial" w:cs="Calibri"/>
          <w:b/>
          <w:u w:val="single"/>
        </w:rPr>
        <w:t>Expertní šetření.</w:t>
      </w:r>
    </w:p>
    <w:p w:rsidR="00486D66" w:rsidRPr="002E6D04" w:rsidRDefault="00486D66" w:rsidP="002E6D04">
      <w:pPr>
        <w:autoSpaceDE w:val="0"/>
        <w:autoSpaceDN w:val="0"/>
        <w:adjustRightInd w:val="0"/>
        <w:spacing w:after="120" w:line="240" w:lineRule="auto"/>
        <w:rPr>
          <w:rFonts w:ascii="Arial" w:hAnsi="Arial" w:cs="Calibri"/>
        </w:rPr>
      </w:pPr>
      <w:r w:rsidRPr="002E6D04">
        <w:rPr>
          <w:rFonts w:ascii="Arial" w:hAnsi="Arial" w:cs="Calibri"/>
        </w:rPr>
        <w:t xml:space="preserve">Expertní metoda patří v kriminologii k poměrně často používaným. V tomto oboru narážíme často na obtížnou dostupnost dat jiného než čistě statistického rázu (jejichž validita se potýká s řadou obecně známých problémů). Platí to především pro kvantitativně méně zastoupené typy trestné činnosti, které však mají vysokou nebezpečnost pro fungování demokratické společnosti jako takové – typickým příkladem může být oblast organizovaného zločinu, terorismu apod. </w:t>
      </w:r>
    </w:p>
    <w:p w:rsidR="00486D66" w:rsidRPr="002E6D04" w:rsidRDefault="00486D66" w:rsidP="002E6D04">
      <w:pPr>
        <w:spacing w:after="120" w:line="240" w:lineRule="auto"/>
        <w:rPr>
          <w:rFonts w:ascii="Arial" w:hAnsi="Arial" w:cs="Calibri"/>
        </w:rPr>
      </w:pPr>
      <w:r w:rsidRPr="002E6D04">
        <w:rPr>
          <w:rFonts w:ascii="Arial" w:hAnsi="Arial" w:cs="Calibri"/>
        </w:rPr>
        <w:t xml:space="preserve">Z výše uvedených důvodů, a při vědomí limitů metody, jsme se rozhodli jako doplňkovou sondu (vedle průzkumu názorů české mládeže, popsaného v předchozí kapitole) zařadit i náhled do práce policejních expertů na poli extremismu. Díky kolegiální součinnosti pracovníků ÚOOZ Policie ČR se nám podařilo shromáždit velice silný vzorek 67 specialistů, kteří se profesně zabývají právě vyšetřováním trestné činnosti, související s extremistickými postoji. Vzhledem k  pracovní vytíženosti respondentů jsme zvolili poměrně krátký dotazník s uzavřenými položkami, což nám zajistilo zmíněný vysoký počet navrácených archů. </w:t>
      </w:r>
    </w:p>
    <w:p w:rsidR="00486D66" w:rsidRPr="002E6D04" w:rsidRDefault="00486D66" w:rsidP="002E6D04">
      <w:pPr>
        <w:spacing w:after="120" w:line="240" w:lineRule="auto"/>
        <w:rPr>
          <w:rFonts w:ascii="Arial" w:hAnsi="Arial" w:cs="Calibri"/>
        </w:rPr>
      </w:pPr>
      <w:r w:rsidRPr="002E6D04">
        <w:rPr>
          <w:rFonts w:ascii="Arial" w:hAnsi="Arial" w:cs="Calibri"/>
        </w:rPr>
        <w:t>Experti byli dotazováni na sevřený okruh otázek, přímo souvisejících s jejich činností v terénu. Nebylo snahou „přimět je“ k širším obecným spekulacím o příčinách nebo společenských souvislostech extremistické trestné činnosti, na druhé straně jsme se nesnažili získat informace o konkrétních kauzách.</w:t>
      </w:r>
    </w:p>
    <w:p w:rsidR="00486D66" w:rsidRPr="002E6D04" w:rsidRDefault="00486D66" w:rsidP="002E6D04">
      <w:pPr>
        <w:spacing w:after="120" w:line="240" w:lineRule="auto"/>
        <w:rPr>
          <w:rFonts w:ascii="Arial" w:hAnsi="Arial" w:cs="Calibri"/>
        </w:rPr>
      </w:pPr>
      <w:r w:rsidRPr="002E6D04">
        <w:rPr>
          <w:rFonts w:ascii="Arial" w:hAnsi="Arial" w:cs="Calibri"/>
        </w:rPr>
        <w:t>Zajímaly nás především jejich názory na aktuální nebezpečnost jednotlivých radikálních politických hnutí, vývoj jejich aktivit za poslední tři roky a předpokládaný trend pro následující období včetně rizika možného přechodu k teroristickým metodám. Pro účely tohoto dotazníku jsme rozeznávali (ve shodě se současnou politologií) uskupení otevřeně neonacistická, krajně nacionalistická, anarcho- autonomní a marxisticko – komunistická.</w:t>
      </w:r>
    </w:p>
    <w:p w:rsidR="00486D66" w:rsidRPr="002E6D04" w:rsidRDefault="00486D66" w:rsidP="002E6D04">
      <w:pPr>
        <w:spacing w:after="120" w:line="240" w:lineRule="auto"/>
        <w:rPr>
          <w:rFonts w:ascii="Arial" w:hAnsi="Arial" w:cs="Calibri"/>
        </w:rPr>
      </w:pPr>
      <w:r w:rsidRPr="002E6D04">
        <w:rPr>
          <w:rFonts w:ascii="Arial" w:hAnsi="Arial" w:cs="Calibri"/>
        </w:rPr>
        <w:t>Dále jsme se zabývali tím, jaká konkrétní jednání policista v posledních zhruba dvou letech v rámci své specializace řešil a která nejčastěji. Poslední blok otázek mapoval spokojenost specialistů s aktuální právní úpravou a jejich zkušenosti ze spolupráce s justičními složkami. Ve všech položkách byli respondenti vyzváni, aby své př</w:t>
      </w:r>
      <w:r>
        <w:rPr>
          <w:rFonts w:ascii="Arial" w:hAnsi="Arial" w:cs="Calibri"/>
        </w:rPr>
        <w:t xml:space="preserve">ípadné výhrady konkretizovali. </w:t>
      </w:r>
    </w:p>
    <w:p w:rsidR="00486D66" w:rsidRPr="002E6D04" w:rsidRDefault="00486D66" w:rsidP="002E6D04">
      <w:pPr>
        <w:spacing w:after="120" w:line="240" w:lineRule="auto"/>
        <w:rPr>
          <w:rFonts w:ascii="Arial" w:hAnsi="Arial" w:cs="Calibri"/>
          <w:b/>
          <w:u w:val="single"/>
        </w:rPr>
      </w:pPr>
      <w:r w:rsidRPr="002E6D04">
        <w:rPr>
          <w:rFonts w:ascii="Arial" w:hAnsi="Arial" w:cs="Calibri"/>
          <w:b/>
          <w:u w:val="single"/>
        </w:rPr>
        <w:t>Závěrem:</w:t>
      </w:r>
    </w:p>
    <w:p w:rsidR="00486D66" w:rsidRPr="002E6D04" w:rsidRDefault="00486D66" w:rsidP="002E6D04">
      <w:pPr>
        <w:spacing w:after="120" w:line="240" w:lineRule="auto"/>
        <w:rPr>
          <w:rFonts w:ascii="Arial" w:hAnsi="Arial" w:cs="Calibri"/>
        </w:rPr>
      </w:pPr>
      <w:r w:rsidRPr="002E6D04">
        <w:rPr>
          <w:rFonts w:ascii="Arial" w:hAnsi="Arial" w:cs="Calibri"/>
        </w:rPr>
        <w:t xml:space="preserve">Výsledky naznačují určitou radikalizaci mladých lidí oproti devadesátým létům. Přibližně polovina středoškoláků se o okrajová politická hnutí (či subkultury) okázale nezajímá. Stoupá ale počet těch, kteří považují společenskou situaci za negativní a hodnou zásadní změny. Důvodem je především hrabivost politiků a sociální nerovnost. Mládež není příliš tolerantní k etnickým minoritám, především ale dominuje negativní postoj k Romům. </w:t>
      </w:r>
    </w:p>
    <w:p w:rsidR="00486D66" w:rsidRPr="002E6D04" w:rsidRDefault="00486D66" w:rsidP="002E6D04">
      <w:pPr>
        <w:spacing w:after="120" w:line="240" w:lineRule="auto"/>
        <w:rPr>
          <w:rFonts w:ascii="Arial" w:hAnsi="Arial" w:cs="Calibri"/>
        </w:rPr>
      </w:pPr>
      <w:r w:rsidRPr="002E6D04">
        <w:rPr>
          <w:rFonts w:ascii="Arial" w:hAnsi="Arial" w:cs="Calibri"/>
        </w:rPr>
        <w:t xml:space="preserve">Přibližně třetina má tendenci směřovat k radikálnějším politickým postojům, stejným dílem ke krajně pravicovým i anarcho – autonomním; tito lidé se stýkají s podobně zaměřenými vrstevníky. Zde lze vypozorovat rozdíly podle typu školy, kdy k ultrapravici více tíhnou studenti učebních oborů a praktických škol. Tito lidé se domnívají – jde přesně o třetinu vzorku – že radikální řešení jsou nejlepší možná (v roce 1995 zastávalo tento názor pouhých 11 % lidí). Angažovanost v radikálních skupinách již není chápana jako vnějšková, ryze subkulturní záležitost, ale je v ní viděna skutečná snaha se politicky angažovat. Několik procent respondentů je skutečně agilních, aktivně se účastnících kontroversních politických akcí. Spolu s minimálně třetinou jejich vrstevníků, nespokojených a intolerantních, mohou v případě ekonomicko – sociálního kolapsu představovat základnu čerstvých sil pro extrémní politická hnutí. </w:t>
      </w:r>
    </w:p>
    <w:p w:rsidR="00486D66" w:rsidRPr="002E6D04" w:rsidRDefault="00486D66" w:rsidP="002E6D04">
      <w:pPr>
        <w:spacing w:after="120" w:line="240" w:lineRule="auto"/>
        <w:rPr>
          <w:rFonts w:ascii="Arial" w:hAnsi="Arial" w:cs="Calibri"/>
        </w:rPr>
      </w:pPr>
    </w:p>
    <w:sectPr w:rsidR="00486D66" w:rsidRPr="002E6D04" w:rsidSect="00F64C71">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6D66" w:rsidRDefault="00486D66" w:rsidP="0016640F">
      <w:pPr>
        <w:spacing w:line="240" w:lineRule="auto"/>
      </w:pPr>
      <w:r>
        <w:separator/>
      </w:r>
    </w:p>
  </w:endnote>
  <w:endnote w:type="continuationSeparator" w:id="0">
    <w:p w:rsidR="00486D66" w:rsidRDefault="00486D66" w:rsidP="0016640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New times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D66" w:rsidRDefault="00486D66">
    <w:pPr>
      <w:pStyle w:val="Footer"/>
      <w:jc w:val="right"/>
    </w:pPr>
    <w:fldSimple w:instr="PAGE   \* MERGEFORMAT">
      <w:r>
        <w:rPr>
          <w:noProof/>
        </w:rPr>
        <w:t>4</w:t>
      </w:r>
    </w:fldSimple>
  </w:p>
  <w:p w:rsidR="00486D66" w:rsidRDefault="00486D6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6D66" w:rsidRDefault="00486D66" w:rsidP="0016640F">
      <w:pPr>
        <w:spacing w:line="240" w:lineRule="auto"/>
      </w:pPr>
      <w:r>
        <w:separator/>
      </w:r>
    </w:p>
  </w:footnote>
  <w:footnote w:type="continuationSeparator" w:id="0">
    <w:p w:rsidR="00486D66" w:rsidRDefault="00486D66" w:rsidP="0016640F">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82529"/>
    <w:multiLevelType w:val="hybridMultilevel"/>
    <w:tmpl w:val="167C1910"/>
    <w:lvl w:ilvl="0" w:tplc="B358B032">
      <w:start w:val="1"/>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7C8400E"/>
    <w:multiLevelType w:val="hybridMultilevel"/>
    <w:tmpl w:val="2CD8A39E"/>
    <w:lvl w:ilvl="0" w:tplc="0405000B">
      <w:start w:val="1"/>
      <w:numFmt w:val="bullet"/>
      <w:lvlText w:val=""/>
      <w:lvlJc w:val="left"/>
      <w:pPr>
        <w:ind w:left="1068" w:hanging="360"/>
      </w:pPr>
      <w:rPr>
        <w:rFonts w:ascii="Wingdings" w:hAnsi="Wingdings" w:hint="default"/>
      </w:rPr>
    </w:lvl>
    <w:lvl w:ilvl="1" w:tplc="04050003" w:tentative="1">
      <w:start w:val="1"/>
      <w:numFmt w:val="bullet"/>
      <w:lvlText w:val="o"/>
      <w:lvlJc w:val="left"/>
      <w:pPr>
        <w:ind w:left="1788" w:hanging="360"/>
      </w:pPr>
      <w:rPr>
        <w:rFonts w:ascii="Courier New" w:hAnsi="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
    <w:nsid w:val="10791981"/>
    <w:multiLevelType w:val="hybridMultilevel"/>
    <w:tmpl w:val="A7B68D0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1C743ED3"/>
    <w:multiLevelType w:val="hybridMultilevel"/>
    <w:tmpl w:val="B5285C8E"/>
    <w:lvl w:ilvl="0" w:tplc="4DA2B12E">
      <w:start w:val="4"/>
      <w:numFmt w:val="bullet"/>
      <w:lvlText w:val="-"/>
      <w:lvlJc w:val="left"/>
      <w:pPr>
        <w:ind w:left="1440" w:hanging="360"/>
      </w:pPr>
      <w:rPr>
        <w:rFonts w:ascii="Arial" w:eastAsia="Times New Roman" w:hAnsi="Arial"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nsid w:val="1E3B636A"/>
    <w:multiLevelType w:val="hybridMultilevel"/>
    <w:tmpl w:val="6B563972"/>
    <w:lvl w:ilvl="0" w:tplc="4DA2B12E">
      <w:start w:val="4"/>
      <w:numFmt w:val="bullet"/>
      <w:lvlText w:val="-"/>
      <w:lvlJc w:val="left"/>
      <w:pPr>
        <w:ind w:left="4605" w:hanging="360"/>
      </w:pPr>
      <w:rPr>
        <w:rFonts w:ascii="Arial" w:eastAsia="Times New Roman" w:hAnsi="Aria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25474666"/>
    <w:multiLevelType w:val="hybridMultilevel"/>
    <w:tmpl w:val="F64ED3D2"/>
    <w:lvl w:ilvl="0" w:tplc="4DA2B12E">
      <w:start w:val="4"/>
      <w:numFmt w:val="bullet"/>
      <w:lvlText w:val="-"/>
      <w:lvlJc w:val="left"/>
      <w:pPr>
        <w:ind w:left="1080" w:hanging="360"/>
      </w:pPr>
      <w:rPr>
        <w:rFonts w:ascii="Arial" w:eastAsia="Times New Roman" w:hAnsi="Aria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3F183509"/>
    <w:multiLevelType w:val="hybridMultilevel"/>
    <w:tmpl w:val="B8CC214E"/>
    <w:lvl w:ilvl="0" w:tplc="4DA2B12E">
      <w:start w:val="4"/>
      <w:numFmt w:val="bullet"/>
      <w:lvlText w:val="-"/>
      <w:lvlJc w:val="left"/>
      <w:pPr>
        <w:ind w:left="4605" w:hanging="360"/>
      </w:pPr>
      <w:rPr>
        <w:rFonts w:ascii="Arial" w:eastAsia="Times New Roman" w:hAnsi="Arial" w:hint="default"/>
      </w:rPr>
    </w:lvl>
    <w:lvl w:ilvl="1" w:tplc="04050003" w:tentative="1">
      <w:start w:val="1"/>
      <w:numFmt w:val="bullet"/>
      <w:lvlText w:val="o"/>
      <w:lvlJc w:val="left"/>
      <w:pPr>
        <w:ind w:left="5325" w:hanging="360"/>
      </w:pPr>
      <w:rPr>
        <w:rFonts w:ascii="Courier New" w:hAnsi="Courier New" w:hint="default"/>
      </w:rPr>
    </w:lvl>
    <w:lvl w:ilvl="2" w:tplc="04050005" w:tentative="1">
      <w:start w:val="1"/>
      <w:numFmt w:val="bullet"/>
      <w:lvlText w:val=""/>
      <w:lvlJc w:val="left"/>
      <w:pPr>
        <w:ind w:left="6045" w:hanging="360"/>
      </w:pPr>
      <w:rPr>
        <w:rFonts w:ascii="Wingdings" w:hAnsi="Wingdings" w:hint="default"/>
      </w:rPr>
    </w:lvl>
    <w:lvl w:ilvl="3" w:tplc="04050001" w:tentative="1">
      <w:start w:val="1"/>
      <w:numFmt w:val="bullet"/>
      <w:lvlText w:val=""/>
      <w:lvlJc w:val="left"/>
      <w:pPr>
        <w:ind w:left="6765" w:hanging="360"/>
      </w:pPr>
      <w:rPr>
        <w:rFonts w:ascii="Symbol" w:hAnsi="Symbol" w:hint="default"/>
      </w:rPr>
    </w:lvl>
    <w:lvl w:ilvl="4" w:tplc="04050003" w:tentative="1">
      <w:start w:val="1"/>
      <w:numFmt w:val="bullet"/>
      <w:lvlText w:val="o"/>
      <w:lvlJc w:val="left"/>
      <w:pPr>
        <w:ind w:left="7485" w:hanging="360"/>
      </w:pPr>
      <w:rPr>
        <w:rFonts w:ascii="Courier New" w:hAnsi="Courier New" w:hint="default"/>
      </w:rPr>
    </w:lvl>
    <w:lvl w:ilvl="5" w:tplc="04050005" w:tentative="1">
      <w:start w:val="1"/>
      <w:numFmt w:val="bullet"/>
      <w:lvlText w:val=""/>
      <w:lvlJc w:val="left"/>
      <w:pPr>
        <w:ind w:left="8205" w:hanging="360"/>
      </w:pPr>
      <w:rPr>
        <w:rFonts w:ascii="Wingdings" w:hAnsi="Wingdings" w:hint="default"/>
      </w:rPr>
    </w:lvl>
    <w:lvl w:ilvl="6" w:tplc="04050001" w:tentative="1">
      <w:start w:val="1"/>
      <w:numFmt w:val="bullet"/>
      <w:lvlText w:val=""/>
      <w:lvlJc w:val="left"/>
      <w:pPr>
        <w:ind w:left="8925" w:hanging="360"/>
      </w:pPr>
      <w:rPr>
        <w:rFonts w:ascii="Symbol" w:hAnsi="Symbol" w:hint="default"/>
      </w:rPr>
    </w:lvl>
    <w:lvl w:ilvl="7" w:tplc="04050003" w:tentative="1">
      <w:start w:val="1"/>
      <w:numFmt w:val="bullet"/>
      <w:lvlText w:val="o"/>
      <w:lvlJc w:val="left"/>
      <w:pPr>
        <w:ind w:left="9645" w:hanging="360"/>
      </w:pPr>
      <w:rPr>
        <w:rFonts w:ascii="Courier New" w:hAnsi="Courier New" w:hint="default"/>
      </w:rPr>
    </w:lvl>
    <w:lvl w:ilvl="8" w:tplc="04050005" w:tentative="1">
      <w:start w:val="1"/>
      <w:numFmt w:val="bullet"/>
      <w:lvlText w:val=""/>
      <w:lvlJc w:val="left"/>
      <w:pPr>
        <w:ind w:left="10365" w:hanging="360"/>
      </w:pPr>
      <w:rPr>
        <w:rFonts w:ascii="Wingdings" w:hAnsi="Wingdings" w:hint="default"/>
      </w:rPr>
    </w:lvl>
  </w:abstractNum>
  <w:abstractNum w:abstractNumId="7">
    <w:nsid w:val="4C07705E"/>
    <w:multiLevelType w:val="hybridMultilevel"/>
    <w:tmpl w:val="20F847C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599A278F"/>
    <w:multiLevelType w:val="hybridMultilevel"/>
    <w:tmpl w:val="8912199E"/>
    <w:lvl w:ilvl="0" w:tplc="4DA2B12E">
      <w:start w:val="4"/>
      <w:numFmt w:val="bullet"/>
      <w:lvlText w:val="-"/>
      <w:lvlJc w:val="left"/>
      <w:pPr>
        <w:ind w:left="1080" w:hanging="360"/>
      </w:pPr>
      <w:rPr>
        <w:rFonts w:ascii="Arial" w:eastAsia="Times New Roman" w:hAnsi="Aria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59A01BF0"/>
    <w:multiLevelType w:val="hybridMultilevel"/>
    <w:tmpl w:val="E68C4CA8"/>
    <w:lvl w:ilvl="0" w:tplc="4DA2B12E">
      <w:start w:val="4"/>
      <w:numFmt w:val="bullet"/>
      <w:lvlText w:val="-"/>
      <w:lvlJc w:val="left"/>
      <w:pPr>
        <w:ind w:left="1080" w:hanging="360"/>
      </w:pPr>
      <w:rPr>
        <w:rFonts w:ascii="Arial" w:eastAsia="Times New Roman" w:hAnsi="Arial"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0">
    <w:nsid w:val="6BAF6151"/>
    <w:multiLevelType w:val="hybridMultilevel"/>
    <w:tmpl w:val="9CF4EE58"/>
    <w:lvl w:ilvl="0" w:tplc="CC346798">
      <w:start w:val="1"/>
      <w:numFmt w:val="decimal"/>
      <w:lvlText w:val="%1."/>
      <w:lvlJc w:val="left"/>
      <w:pPr>
        <w:ind w:left="539" w:hanging="397"/>
      </w:pPr>
      <w:rPr>
        <w:rFonts w:cs="Times New Roman" w:hint="default"/>
        <w:b/>
        <w:i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1">
    <w:nsid w:val="74291DBC"/>
    <w:multiLevelType w:val="hybridMultilevel"/>
    <w:tmpl w:val="089A57AA"/>
    <w:lvl w:ilvl="0" w:tplc="552261BC">
      <w:start w:val="2"/>
      <w:numFmt w:val="bullet"/>
      <w:lvlText w:val="-"/>
      <w:lvlJc w:val="left"/>
      <w:pPr>
        <w:ind w:left="714"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7457066F"/>
    <w:multiLevelType w:val="hybridMultilevel"/>
    <w:tmpl w:val="E0B287B6"/>
    <w:lvl w:ilvl="0" w:tplc="4DA2B12E">
      <w:start w:val="4"/>
      <w:numFmt w:val="bullet"/>
      <w:lvlText w:val="-"/>
      <w:lvlJc w:val="left"/>
      <w:pPr>
        <w:ind w:left="4605" w:hanging="360"/>
      </w:pPr>
      <w:rPr>
        <w:rFonts w:ascii="Arial" w:eastAsia="Times New Roman" w:hAnsi="Aria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7A5B4862"/>
    <w:multiLevelType w:val="hybridMultilevel"/>
    <w:tmpl w:val="01103C42"/>
    <w:lvl w:ilvl="0" w:tplc="040C9B98">
      <w:start w:val="1"/>
      <w:numFmt w:val="lowerLetter"/>
      <w:lvlText w:val="%1)"/>
      <w:lvlJc w:val="left"/>
      <w:pPr>
        <w:ind w:left="1080" w:hanging="360"/>
      </w:pPr>
      <w:rPr>
        <w:rFonts w:cs="Times New Roman" w:hint="default"/>
        <w:b w:val="0"/>
        <w:i w:val="0"/>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num w:numId="1">
    <w:abstractNumId w:val="0"/>
  </w:num>
  <w:num w:numId="2">
    <w:abstractNumId w:val="11"/>
  </w:num>
  <w:num w:numId="3">
    <w:abstractNumId w:val="6"/>
  </w:num>
  <w:num w:numId="4">
    <w:abstractNumId w:val="4"/>
  </w:num>
  <w:num w:numId="5">
    <w:abstractNumId w:val="12"/>
  </w:num>
  <w:num w:numId="6">
    <w:abstractNumId w:val="2"/>
  </w:num>
  <w:num w:numId="7">
    <w:abstractNumId w:val="9"/>
  </w:num>
  <w:num w:numId="8">
    <w:abstractNumId w:val="1"/>
  </w:num>
  <w:num w:numId="9">
    <w:abstractNumId w:val="5"/>
  </w:num>
  <w:num w:numId="10">
    <w:abstractNumId w:val="8"/>
  </w:num>
  <w:num w:numId="11">
    <w:abstractNumId w:val="3"/>
  </w:num>
  <w:num w:numId="12">
    <w:abstractNumId w:val="10"/>
  </w:num>
  <w:num w:numId="13">
    <w:abstractNumId w:val="7"/>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B35FF"/>
    <w:rsid w:val="00083244"/>
    <w:rsid w:val="000D3C10"/>
    <w:rsid w:val="000F2CA2"/>
    <w:rsid w:val="00106D8D"/>
    <w:rsid w:val="0016640F"/>
    <w:rsid w:val="00212E8B"/>
    <w:rsid w:val="002318E6"/>
    <w:rsid w:val="002E6D04"/>
    <w:rsid w:val="003150EF"/>
    <w:rsid w:val="003B4903"/>
    <w:rsid w:val="00444B68"/>
    <w:rsid w:val="00486D66"/>
    <w:rsid w:val="004B35FF"/>
    <w:rsid w:val="004D630F"/>
    <w:rsid w:val="00540EE4"/>
    <w:rsid w:val="00546957"/>
    <w:rsid w:val="00586693"/>
    <w:rsid w:val="005C1BB4"/>
    <w:rsid w:val="008E31BC"/>
    <w:rsid w:val="00905365"/>
    <w:rsid w:val="00996249"/>
    <w:rsid w:val="00B46A34"/>
    <w:rsid w:val="00BA1FAD"/>
    <w:rsid w:val="00D00B21"/>
    <w:rsid w:val="00D314EC"/>
    <w:rsid w:val="00F305D9"/>
    <w:rsid w:val="00F64C71"/>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5FF"/>
    <w:pPr>
      <w:spacing w:line="360" w:lineRule="auto"/>
      <w:jc w:val="both"/>
    </w:pPr>
    <w:rPr>
      <w:rFonts w:ascii="Times New Roman" w:eastAsia="Times New Roman" w:hAnsi="Times New Roman"/>
      <w:sz w:val="24"/>
      <w:szCs w:val="24"/>
    </w:rPr>
  </w:style>
  <w:style w:type="paragraph" w:styleId="Heading5">
    <w:name w:val="heading 5"/>
    <w:basedOn w:val="Normal"/>
    <w:next w:val="Normal"/>
    <w:link w:val="Heading5Char"/>
    <w:uiPriority w:val="99"/>
    <w:qFormat/>
    <w:rsid w:val="004B35FF"/>
    <w:pPr>
      <w:keepNext/>
      <w:spacing w:before="120" w:line="360" w:lineRule="atLeast"/>
      <w:outlineLvl w:val="4"/>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9"/>
    <w:locked/>
    <w:rsid w:val="004B35FF"/>
    <w:rPr>
      <w:rFonts w:ascii="Times New Roman" w:hAnsi="Times New Roman" w:cs="Times New Roman"/>
      <w:b/>
      <w:bCs/>
      <w:sz w:val="24"/>
      <w:szCs w:val="24"/>
      <w:lang w:eastAsia="cs-CZ"/>
    </w:rPr>
  </w:style>
  <w:style w:type="paragraph" w:customStyle="1" w:styleId="Poloka">
    <w:name w:val="Položka"/>
    <w:uiPriority w:val="99"/>
    <w:rsid w:val="004B35FF"/>
    <w:pPr>
      <w:ind w:left="57"/>
    </w:pPr>
    <w:rPr>
      <w:rFonts w:ascii="Arial" w:eastAsia="Times New Roman" w:hAnsi="Arial" w:cs="Arial"/>
      <w:b/>
      <w:bCs/>
      <w:sz w:val="18"/>
      <w:szCs w:val="18"/>
    </w:rPr>
  </w:style>
  <w:style w:type="paragraph" w:customStyle="1" w:styleId="slo">
    <w:name w:val="Číslo"/>
    <w:uiPriority w:val="99"/>
    <w:rsid w:val="004B35FF"/>
    <w:pPr>
      <w:jc w:val="center"/>
    </w:pPr>
    <w:rPr>
      <w:rFonts w:ascii="Arial" w:eastAsia="Times New Roman" w:hAnsi="Arial" w:cs="Arial"/>
      <w:b/>
      <w:bCs/>
      <w:sz w:val="18"/>
      <w:szCs w:val="18"/>
    </w:rPr>
  </w:style>
  <w:style w:type="paragraph" w:styleId="BalloonText">
    <w:name w:val="Balloon Text"/>
    <w:basedOn w:val="Normal"/>
    <w:link w:val="BalloonTextChar"/>
    <w:uiPriority w:val="99"/>
    <w:semiHidden/>
    <w:rsid w:val="004B35F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B35FF"/>
    <w:rPr>
      <w:rFonts w:ascii="Tahoma" w:hAnsi="Tahoma" w:cs="Tahoma"/>
      <w:sz w:val="16"/>
      <w:szCs w:val="16"/>
      <w:lang w:eastAsia="cs-CZ"/>
    </w:rPr>
  </w:style>
  <w:style w:type="paragraph" w:styleId="ListParagraph">
    <w:name w:val="List Paragraph"/>
    <w:basedOn w:val="Normal"/>
    <w:uiPriority w:val="99"/>
    <w:qFormat/>
    <w:rsid w:val="0016640F"/>
    <w:pPr>
      <w:spacing w:line="240" w:lineRule="auto"/>
      <w:ind w:left="720"/>
      <w:contextualSpacing/>
      <w:jc w:val="left"/>
    </w:pPr>
    <w:rPr>
      <w:rFonts w:ascii="New times roman" w:eastAsia="Calibri" w:hAnsi="New times roman"/>
      <w:lang w:eastAsia="en-US"/>
    </w:rPr>
  </w:style>
  <w:style w:type="paragraph" w:styleId="FootnoteText">
    <w:name w:val="footnote text"/>
    <w:basedOn w:val="Normal"/>
    <w:link w:val="FootnoteTextChar"/>
    <w:uiPriority w:val="99"/>
    <w:semiHidden/>
    <w:rsid w:val="0016640F"/>
    <w:pPr>
      <w:spacing w:line="240" w:lineRule="auto"/>
      <w:jc w:val="left"/>
    </w:pPr>
    <w:rPr>
      <w:rFonts w:ascii="Calibri" w:eastAsia="Calibri" w:hAnsi="Calibri"/>
      <w:sz w:val="20"/>
      <w:szCs w:val="20"/>
      <w:lang w:eastAsia="en-US"/>
    </w:rPr>
  </w:style>
  <w:style w:type="character" w:customStyle="1" w:styleId="FootnoteTextChar">
    <w:name w:val="Footnote Text Char"/>
    <w:basedOn w:val="DefaultParagraphFont"/>
    <w:link w:val="FootnoteText"/>
    <w:uiPriority w:val="99"/>
    <w:semiHidden/>
    <w:locked/>
    <w:rsid w:val="0016640F"/>
    <w:rPr>
      <w:rFonts w:cs="Times New Roman"/>
      <w:sz w:val="20"/>
      <w:szCs w:val="20"/>
    </w:rPr>
  </w:style>
  <w:style w:type="character" w:styleId="FootnoteReference">
    <w:name w:val="footnote reference"/>
    <w:basedOn w:val="DefaultParagraphFont"/>
    <w:uiPriority w:val="99"/>
    <w:semiHidden/>
    <w:rsid w:val="0016640F"/>
    <w:rPr>
      <w:rFonts w:cs="Times New Roman"/>
      <w:vertAlign w:val="superscript"/>
    </w:rPr>
  </w:style>
  <w:style w:type="paragraph" w:styleId="Header">
    <w:name w:val="header"/>
    <w:basedOn w:val="Normal"/>
    <w:link w:val="HeaderChar"/>
    <w:uiPriority w:val="99"/>
    <w:rsid w:val="00BA1FAD"/>
    <w:pPr>
      <w:tabs>
        <w:tab w:val="center" w:pos="4536"/>
        <w:tab w:val="right" w:pos="9072"/>
      </w:tabs>
      <w:spacing w:line="240" w:lineRule="auto"/>
    </w:pPr>
  </w:style>
  <w:style w:type="character" w:customStyle="1" w:styleId="HeaderChar">
    <w:name w:val="Header Char"/>
    <w:basedOn w:val="DefaultParagraphFont"/>
    <w:link w:val="Header"/>
    <w:uiPriority w:val="99"/>
    <w:locked/>
    <w:rsid w:val="00BA1FAD"/>
    <w:rPr>
      <w:rFonts w:ascii="Times New Roman" w:hAnsi="Times New Roman" w:cs="Times New Roman"/>
      <w:sz w:val="24"/>
      <w:szCs w:val="24"/>
      <w:lang w:eastAsia="cs-CZ"/>
    </w:rPr>
  </w:style>
  <w:style w:type="paragraph" w:styleId="Footer">
    <w:name w:val="footer"/>
    <w:basedOn w:val="Normal"/>
    <w:link w:val="FooterChar"/>
    <w:uiPriority w:val="99"/>
    <w:rsid w:val="00BA1FAD"/>
    <w:pPr>
      <w:tabs>
        <w:tab w:val="center" w:pos="4536"/>
        <w:tab w:val="right" w:pos="9072"/>
      </w:tabs>
      <w:spacing w:line="240" w:lineRule="auto"/>
    </w:pPr>
  </w:style>
  <w:style w:type="character" w:customStyle="1" w:styleId="FooterChar">
    <w:name w:val="Footer Char"/>
    <w:basedOn w:val="DefaultParagraphFont"/>
    <w:link w:val="Footer"/>
    <w:uiPriority w:val="99"/>
    <w:locked/>
    <w:rsid w:val="00BA1FAD"/>
    <w:rPr>
      <w:rFonts w:ascii="Times New Roman" w:hAnsi="Times New Roman" w:cs="Times New Roman"/>
      <w:sz w:val="24"/>
      <w:szCs w:val="24"/>
      <w:lang w:eastAsia="cs-CZ"/>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10</TotalTime>
  <Pages>6</Pages>
  <Words>2086</Words>
  <Characters>12312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Současná situace v oblasti extremistických hnutí v ČR </dc:title>
  <dc:subject/>
  <dc:creator>Holas Jakub Mgr.</dc:creator>
  <cp:keywords/>
  <dc:description/>
  <cp:lastModifiedBy>Dočkalová</cp:lastModifiedBy>
  <cp:revision>3</cp:revision>
  <cp:lastPrinted>2013-02-27T17:06:00Z</cp:lastPrinted>
  <dcterms:created xsi:type="dcterms:W3CDTF">2013-03-14T13:54:00Z</dcterms:created>
  <dcterms:modified xsi:type="dcterms:W3CDTF">2013-03-14T14:02:00Z</dcterms:modified>
</cp:coreProperties>
</file>