
<file path=[Content_Types].xml><?xml version="1.0" encoding="utf-8"?>
<Types xmlns="http://schemas.openxmlformats.org/package/2006/content-types">
  <Default Extension="png" ContentType="image/png"/>
  <Override PartName="/word/theme/themeOverride1.xml" ContentType="application/vnd.openxmlformats-officedocument.themeOverrid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drawings/drawing1.xml" ContentType="application/vnd.openxmlformats-officedocument.drawingml.chartshapes+xml"/>
  <Override PartName="/word/theme/theme1.xml" ContentType="application/vnd.openxmlformats-officedocument.theme+xml"/>
  <Default Extension="xlsx" ContentType="application/vnd.openxmlformats-officedocument.spreadsheetml.sheet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0524" w:rsidRPr="002067D6" w:rsidRDefault="00770524" w:rsidP="002067D6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067D6">
        <w:rPr>
          <w:rFonts w:ascii="Times New Roman" w:hAnsi="Times New Roman" w:cs="Times New Roman"/>
          <w:b/>
          <w:bCs/>
          <w:sz w:val="28"/>
          <w:szCs w:val="28"/>
        </w:rPr>
        <w:t>Trendy kriminality v</w:t>
      </w:r>
      <w:r w:rsidR="002067D6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Pr="002067D6">
        <w:rPr>
          <w:rFonts w:ascii="Times New Roman" w:hAnsi="Times New Roman" w:cs="Times New Roman"/>
          <w:b/>
          <w:bCs/>
          <w:sz w:val="28"/>
          <w:szCs w:val="28"/>
        </w:rPr>
        <w:t>ČR</w:t>
      </w:r>
      <w:r w:rsidR="002067D6">
        <w:rPr>
          <w:rFonts w:ascii="Times New Roman" w:hAnsi="Times New Roman" w:cs="Times New Roman"/>
          <w:b/>
          <w:bCs/>
          <w:sz w:val="28"/>
          <w:szCs w:val="28"/>
        </w:rPr>
        <w:t xml:space="preserve"> v roce 2018</w:t>
      </w:r>
    </w:p>
    <w:p w:rsidR="00D66D7F" w:rsidRDefault="00D66D7F" w:rsidP="007B406B">
      <w:pPr>
        <w:ind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Institut pro kriminologii a sociální prevenci</w:t>
      </w:r>
      <w:r w:rsidR="00AA68A4">
        <w:rPr>
          <w:rFonts w:ascii="Times New Roman" w:hAnsi="Times New Roman" w:cs="Times New Roman"/>
          <w:sz w:val="24"/>
          <w:szCs w:val="24"/>
        </w:rPr>
        <w:t xml:space="preserve"> </w:t>
      </w:r>
      <w:r w:rsidR="00982FA2">
        <w:rPr>
          <w:rFonts w:ascii="Times New Roman" w:hAnsi="Times New Roman" w:cs="Times New Roman"/>
          <w:sz w:val="24"/>
          <w:szCs w:val="24"/>
        </w:rPr>
        <w:t>téměř tři desetiletí</w:t>
      </w:r>
      <w:r w:rsidRPr="00987C12">
        <w:rPr>
          <w:rFonts w:ascii="Times New Roman" w:hAnsi="Times New Roman" w:cs="Times New Roman"/>
          <w:sz w:val="24"/>
          <w:szCs w:val="24"/>
        </w:rPr>
        <w:t xml:space="preserve"> interpretuje odborné veřejnosti informace o stavu kriminality jak v konkrétním roce, tak v kontextu delšího časového vývoje.</w:t>
      </w:r>
      <w:r>
        <w:rPr>
          <w:rFonts w:ascii="Times New Roman" w:hAnsi="Times New Roman" w:cs="Times New Roman"/>
          <w:sz w:val="24"/>
          <w:szCs w:val="24"/>
        </w:rPr>
        <w:t> Zpracová</w:t>
      </w:r>
      <w:r w:rsidRPr="003B3155">
        <w:rPr>
          <w:rFonts w:ascii="Times New Roman" w:hAnsi="Times New Roman" w:cs="Times New Roman"/>
          <w:sz w:val="24"/>
          <w:szCs w:val="24"/>
        </w:rPr>
        <w:t>ní každoročního analytického přehledu vývoje registrované kriminality</w:t>
      </w:r>
      <w:r>
        <w:rPr>
          <w:rFonts w:ascii="Times New Roman" w:hAnsi="Times New Roman" w:cs="Times New Roman"/>
          <w:sz w:val="24"/>
          <w:szCs w:val="24"/>
        </w:rPr>
        <w:t xml:space="preserve"> vych</w:t>
      </w:r>
      <w:r w:rsidR="00982FA2">
        <w:rPr>
          <w:rFonts w:ascii="Times New Roman" w:hAnsi="Times New Roman" w:cs="Times New Roman"/>
          <w:sz w:val="24"/>
          <w:szCs w:val="24"/>
        </w:rPr>
        <w:t xml:space="preserve">ází z policejních, justičních a </w:t>
      </w:r>
      <w:r>
        <w:rPr>
          <w:rFonts w:ascii="Times New Roman" w:hAnsi="Times New Roman" w:cs="Times New Roman"/>
          <w:sz w:val="24"/>
          <w:szCs w:val="24"/>
        </w:rPr>
        <w:t>vězeňských statistik</w:t>
      </w:r>
      <w:r w:rsidR="00982FA2">
        <w:rPr>
          <w:rFonts w:ascii="Times New Roman" w:hAnsi="Times New Roman" w:cs="Times New Roman"/>
          <w:sz w:val="24"/>
          <w:szCs w:val="24"/>
        </w:rPr>
        <w:t xml:space="preserve"> a dalších materiálů z resortu justice a vnitra</w:t>
      </w:r>
      <w:r>
        <w:rPr>
          <w:rFonts w:ascii="Times New Roman" w:hAnsi="Times New Roman" w:cs="Times New Roman"/>
          <w:sz w:val="24"/>
          <w:szCs w:val="24"/>
        </w:rPr>
        <w:t>.</w:t>
      </w:r>
      <w:r w:rsidR="00AA68A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Příprava ročen</w:t>
      </w:r>
      <w:r w:rsidR="002067D6">
        <w:rPr>
          <w:rFonts w:ascii="Times New Roman" w:hAnsi="Times New Roman" w:cs="Times New Roman"/>
          <w:sz w:val="24"/>
          <w:szCs w:val="24"/>
        </w:rPr>
        <w:t>ek</w:t>
      </w:r>
      <w:r w:rsidR="00AA68A4">
        <w:rPr>
          <w:rFonts w:ascii="Times New Roman" w:hAnsi="Times New Roman" w:cs="Times New Roman"/>
          <w:sz w:val="24"/>
          <w:szCs w:val="24"/>
        </w:rPr>
        <w:t xml:space="preserve"> </w:t>
      </w:r>
      <w:r w:rsidR="007B406B">
        <w:rPr>
          <w:rFonts w:ascii="Times New Roman" w:hAnsi="Times New Roman" w:cs="Times New Roman"/>
          <w:sz w:val="24"/>
          <w:szCs w:val="24"/>
        </w:rPr>
        <w:t>„</w:t>
      </w:r>
      <w:r w:rsidR="007B406B" w:rsidRPr="007B406B">
        <w:rPr>
          <w:rFonts w:ascii="Times New Roman" w:hAnsi="Times New Roman" w:cs="Times New Roman"/>
          <w:i/>
          <w:sz w:val="24"/>
          <w:szCs w:val="24"/>
        </w:rPr>
        <w:t>Analýza trendů kriminality v roce …</w:t>
      </w:r>
      <w:r w:rsidR="007B406B">
        <w:rPr>
          <w:rFonts w:ascii="Times New Roman" w:hAnsi="Times New Roman" w:cs="Times New Roman"/>
          <w:sz w:val="24"/>
          <w:szCs w:val="24"/>
        </w:rPr>
        <w:t xml:space="preserve">“ </w:t>
      </w:r>
      <w:r w:rsidR="00982FA2">
        <w:rPr>
          <w:rFonts w:ascii="Times New Roman" w:hAnsi="Times New Roman" w:cs="Times New Roman"/>
          <w:sz w:val="24"/>
          <w:szCs w:val="24"/>
        </w:rPr>
        <w:t>spadala v rámci S</w:t>
      </w:r>
      <w:r>
        <w:rPr>
          <w:rFonts w:ascii="Times New Roman" w:hAnsi="Times New Roman" w:cs="Times New Roman"/>
          <w:sz w:val="24"/>
          <w:szCs w:val="24"/>
        </w:rPr>
        <w:t xml:space="preserve">třednědobého plánu výzkumných úkolů </w:t>
      </w:r>
      <w:r w:rsidR="002067D6">
        <w:rPr>
          <w:rFonts w:ascii="Times New Roman" w:hAnsi="Times New Roman" w:cs="Times New Roman"/>
          <w:sz w:val="24"/>
          <w:szCs w:val="24"/>
        </w:rPr>
        <w:t xml:space="preserve">IKSP </w:t>
      </w:r>
      <w:r>
        <w:rPr>
          <w:rFonts w:ascii="Times New Roman" w:hAnsi="Times New Roman" w:cs="Times New Roman"/>
          <w:sz w:val="24"/>
          <w:szCs w:val="24"/>
        </w:rPr>
        <w:t xml:space="preserve">do obsahového směru </w:t>
      </w:r>
      <w:r w:rsidRPr="0087073B">
        <w:rPr>
          <w:rFonts w:ascii="Times New Roman" w:hAnsi="Times New Roman" w:cs="Times New Roman"/>
          <w:i/>
          <w:sz w:val="24"/>
          <w:szCs w:val="24"/>
        </w:rPr>
        <w:t>Sledování a</w:t>
      </w:r>
      <w:r w:rsidR="000C3FBB">
        <w:rPr>
          <w:rFonts w:ascii="Times New Roman" w:hAnsi="Times New Roman" w:cs="Times New Roman"/>
          <w:i/>
          <w:sz w:val="24"/>
          <w:szCs w:val="24"/>
        </w:rPr>
        <w:t> </w:t>
      </w:r>
      <w:r w:rsidRPr="0087073B">
        <w:rPr>
          <w:rFonts w:ascii="Times New Roman" w:hAnsi="Times New Roman" w:cs="Times New Roman"/>
          <w:i/>
          <w:sz w:val="24"/>
          <w:szCs w:val="24"/>
        </w:rPr>
        <w:t>analýza vývojových trendů kriminality, s ní souvisejících sociálně patologických jevů a</w:t>
      </w:r>
      <w:r w:rsidR="000C3FBB">
        <w:rPr>
          <w:rFonts w:ascii="Times New Roman" w:hAnsi="Times New Roman" w:cs="Times New Roman"/>
          <w:i/>
          <w:sz w:val="24"/>
          <w:szCs w:val="24"/>
        </w:rPr>
        <w:t> </w:t>
      </w:r>
      <w:r w:rsidRPr="0087073B">
        <w:rPr>
          <w:rFonts w:ascii="Times New Roman" w:hAnsi="Times New Roman" w:cs="Times New Roman"/>
          <w:i/>
          <w:sz w:val="24"/>
          <w:szCs w:val="24"/>
        </w:rPr>
        <w:t>podmiňujících kriminogenních faktorů, na něž je třeba v tres</w:t>
      </w:r>
      <w:r>
        <w:rPr>
          <w:rFonts w:ascii="Times New Roman" w:hAnsi="Times New Roman" w:cs="Times New Roman"/>
          <w:i/>
          <w:sz w:val="24"/>
          <w:szCs w:val="24"/>
        </w:rPr>
        <w:t>t</w:t>
      </w:r>
      <w:r w:rsidRPr="0087073B">
        <w:rPr>
          <w:rFonts w:ascii="Times New Roman" w:hAnsi="Times New Roman" w:cs="Times New Roman"/>
          <w:i/>
          <w:sz w:val="24"/>
          <w:szCs w:val="24"/>
        </w:rPr>
        <w:t xml:space="preserve">ní </w:t>
      </w:r>
      <w:r>
        <w:rPr>
          <w:rFonts w:ascii="Times New Roman" w:hAnsi="Times New Roman" w:cs="Times New Roman"/>
          <w:i/>
          <w:sz w:val="24"/>
          <w:szCs w:val="24"/>
        </w:rPr>
        <w:t xml:space="preserve">politice reagovat. </w:t>
      </w:r>
    </w:p>
    <w:p w:rsidR="00982FA2" w:rsidRDefault="0035261A" w:rsidP="002067D6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Prezentace</w:t>
      </w:r>
      <w:r w:rsidR="000C3FBB">
        <w:rPr>
          <w:rFonts w:ascii="Times New Roman" w:hAnsi="Times New Roman" w:cs="Times New Roman"/>
          <w:sz w:val="24"/>
          <w:szCs w:val="24"/>
        </w:rPr>
        <w:t xml:space="preserve"> </w:t>
      </w:r>
      <w:r w:rsidR="00D66D7F" w:rsidRPr="00987C12">
        <w:rPr>
          <w:rFonts w:ascii="Times New Roman" w:hAnsi="Times New Roman" w:cs="Times New Roman"/>
          <w:sz w:val="24"/>
          <w:szCs w:val="24"/>
        </w:rPr>
        <w:t>koment</w:t>
      </w:r>
      <w:r w:rsidR="00D66D7F">
        <w:rPr>
          <w:rFonts w:ascii="Times New Roman" w:hAnsi="Times New Roman" w:cs="Times New Roman"/>
          <w:sz w:val="24"/>
          <w:szCs w:val="24"/>
        </w:rPr>
        <w:t>uje</w:t>
      </w:r>
      <w:r w:rsidR="00D66D7F" w:rsidRPr="00987C12">
        <w:rPr>
          <w:rFonts w:ascii="Times New Roman" w:hAnsi="Times New Roman" w:cs="Times New Roman"/>
          <w:sz w:val="24"/>
          <w:szCs w:val="24"/>
        </w:rPr>
        <w:t xml:space="preserve"> základní </w:t>
      </w:r>
      <w:r w:rsidR="00D66D7F" w:rsidRPr="007B406B">
        <w:rPr>
          <w:rFonts w:ascii="Times New Roman" w:hAnsi="Times New Roman" w:cs="Times New Roman"/>
          <w:sz w:val="24"/>
          <w:szCs w:val="24"/>
        </w:rPr>
        <w:t>údaje o kriminalitě</w:t>
      </w:r>
      <w:r w:rsidR="000C3FBB">
        <w:rPr>
          <w:rFonts w:ascii="Times New Roman" w:hAnsi="Times New Roman" w:cs="Times New Roman"/>
          <w:sz w:val="24"/>
          <w:szCs w:val="24"/>
        </w:rPr>
        <w:t xml:space="preserve"> </w:t>
      </w:r>
      <w:r w:rsidR="00D66D7F">
        <w:rPr>
          <w:rFonts w:ascii="Times New Roman" w:hAnsi="Times New Roman" w:cs="Times New Roman"/>
          <w:sz w:val="24"/>
          <w:szCs w:val="24"/>
        </w:rPr>
        <w:t>v </w:t>
      </w:r>
      <w:r w:rsidR="00D66D7F" w:rsidRPr="00987C12">
        <w:rPr>
          <w:rFonts w:ascii="Times New Roman" w:hAnsi="Times New Roman" w:cs="Times New Roman"/>
          <w:sz w:val="24"/>
          <w:szCs w:val="24"/>
        </w:rPr>
        <w:t>roce 201</w:t>
      </w:r>
      <w:r w:rsidR="00982FA2">
        <w:rPr>
          <w:rFonts w:ascii="Times New Roman" w:hAnsi="Times New Roman" w:cs="Times New Roman"/>
          <w:sz w:val="24"/>
          <w:szCs w:val="24"/>
        </w:rPr>
        <w:t>8</w:t>
      </w:r>
      <w:r w:rsidR="007B406B">
        <w:rPr>
          <w:rFonts w:ascii="Times New Roman" w:hAnsi="Times New Roman" w:cs="Times New Roman"/>
          <w:sz w:val="24"/>
          <w:szCs w:val="24"/>
        </w:rPr>
        <w:t xml:space="preserve"> </w:t>
      </w:r>
      <w:r w:rsidR="000C3FBB">
        <w:rPr>
          <w:rFonts w:ascii="Times New Roman" w:hAnsi="Times New Roman" w:cs="Times New Roman"/>
          <w:sz w:val="24"/>
          <w:szCs w:val="24"/>
        </w:rPr>
        <w:t>–</w:t>
      </w:r>
      <w:r w:rsidR="007B406B">
        <w:rPr>
          <w:rFonts w:ascii="Times New Roman" w:hAnsi="Times New Roman" w:cs="Times New Roman"/>
          <w:sz w:val="24"/>
          <w:szCs w:val="24"/>
        </w:rPr>
        <w:t xml:space="preserve"> </w:t>
      </w:r>
      <w:r w:rsidR="00D66D7F">
        <w:rPr>
          <w:rFonts w:ascii="Times New Roman" w:hAnsi="Times New Roman" w:cs="Times New Roman"/>
          <w:sz w:val="24"/>
          <w:szCs w:val="24"/>
        </w:rPr>
        <w:t>strukturu trestné činnosti, geografické ukazatele</w:t>
      </w:r>
      <w:r w:rsidR="002067D6">
        <w:rPr>
          <w:rFonts w:ascii="Times New Roman" w:hAnsi="Times New Roman" w:cs="Times New Roman"/>
          <w:sz w:val="24"/>
          <w:szCs w:val="24"/>
        </w:rPr>
        <w:t xml:space="preserve">, </w:t>
      </w:r>
      <w:r w:rsidR="00D66D7F" w:rsidRPr="00987C12">
        <w:rPr>
          <w:rFonts w:ascii="Times New Roman" w:hAnsi="Times New Roman" w:cs="Times New Roman"/>
          <w:sz w:val="24"/>
          <w:szCs w:val="24"/>
        </w:rPr>
        <w:t xml:space="preserve">změny oproti roku předchozímu a </w:t>
      </w:r>
      <w:r w:rsidR="002067D6">
        <w:rPr>
          <w:rFonts w:ascii="Times New Roman" w:hAnsi="Times New Roman" w:cs="Times New Roman"/>
          <w:sz w:val="24"/>
          <w:szCs w:val="24"/>
        </w:rPr>
        <w:t>trendy z</w:t>
      </w:r>
      <w:r w:rsidR="00D66D7F" w:rsidRPr="00987C12">
        <w:rPr>
          <w:rFonts w:ascii="Times New Roman" w:hAnsi="Times New Roman" w:cs="Times New Roman"/>
          <w:sz w:val="24"/>
          <w:szCs w:val="24"/>
        </w:rPr>
        <w:t xml:space="preserve">a zhruba posledních deset let. </w:t>
      </w:r>
      <w:r w:rsidR="00D66D7F">
        <w:rPr>
          <w:rFonts w:ascii="Times New Roman" w:hAnsi="Times New Roman" w:cs="Times New Roman"/>
          <w:sz w:val="24"/>
          <w:szCs w:val="24"/>
        </w:rPr>
        <w:t xml:space="preserve">Uvádí též </w:t>
      </w:r>
      <w:r w:rsidR="00D66D7F" w:rsidRPr="00987C12">
        <w:rPr>
          <w:rFonts w:ascii="Times New Roman" w:hAnsi="Times New Roman" w:cs="Times New Roman"/>
          <w:sz w:val="24"/>
          <w:szCs w:val="24"/>
        </w:rPr>
        <w:t>informace o </w:t>
      </w:r>
      <w:r w:rsidR="00D66D7F">
        <w:rPr>
          <w:rFonts w:ascii="Times New Roman" w:hAnsi="Times New Roman" w:cs="Times New Roman"/>
          <w:sz w:val="24"/>
          <w:szCs w:val="24"/>
        </w:rPr>
        <w:t xml:space="preserve">skladbě známých </w:t>
      </w:r>
      <w:r w:rsidR="00D66D7F" w:rsidRPr="00987C12">
        <w:rPr>
          <w:rFonts w:ascii="Times New Roman" w:hAnsi="Times New Roman" w:cs="Times New Roman"/>
          <w:sz w:val="24"/>
          <w:szCs w:val="24"/>
        </w:rPr>
        <w:t>pachatel</w:t>
      </w:r>
      <w:r w:rsidR="00D66D7F">
        <w:rPr>
          <w:rFonts w:ascii="Times New Roman" w:hAnsi="Times New Roman" w:cs="Times New Roman"/>
          <w:sz w:val="24"/>
          <w:szCs w:val="24"/>
        </w:rPr>
        <w:t>ů</w:t>
      </w:r>
      <w:r w:rsidR="00D66D7F" w:rsidRPr="00987C12">
        <w:rPr>
          <w:rFonts w:ascii="Times New Roman" w:hAnsi="Times New Roman" w:cs="Times New Roman"/>
          <w:sz w:val="24"/>
          <w:szCs w:val="24"/>
        </w:rPr>
        <w:t xml:space="preserve">, </w:t>
      </w:r>
      <w:r w:rsidR="00D66D7F">
        <w:rPr>
          <w:rFonts w:ascii="Times New Roman" w:hAnsi="Times New Roman" w:cs="Times New Roman"/>
          <w:sz w:val="24"/>
          <w:szCs w:val="24"/>
        </w:rPr>
        <w:t xml:space="preserve">sleduje podíl </w:t>
      </w:r>
      <w:r w:rsidR="00982FA2">
        <w:rPr>
          <w:rFonts w:ascii="Times New Roman" w:hAnsi="Times New Roman" w:cs="Times New Roman"/>
          <w:sz w:val="24"/>
          <w:szCs w:val="24"/>
        </w:rPr>
        <w:t>opakovaně trestaných osob</w:t>
      </w:r>
      <w:r w:rsidR="007B406B">
        <w:rPr>
          <w:rFonts w:ascii="Times New Roman" w:hAnsi="Times New Roman" w:cs="Times New Roman"/>
          <w:sz w:val="24"/>
          <w:szCs w:val="24"/>
        </w:rPr>
        <w:t xml:space="preserve"> a cizinců.</w:t>
      </w:r>
      <w:r w:rsidR="00D66D7F">
        <w:rPr>
          <w:rFonts w:ascii="Times New Roman" w:hAnsi="Times New Roman" w:cs="Times New Roman"/>
          <w:sz w:val="24"/>
          <w:szCs w:val="24"/>
        </w:rPr>
        <w:t xml:space="preserve"> J</w:t>
      </w:r>
      <w:r w:rsidR="00CC5583">
        <w:rPr>
          <w:rFonts w:ascii="Times New Roman" w:hAnsi="Times New Roman" w:cs="Times New Roman"/>
          <w:sz w:val="24"/>
          <w:szCs w:val="24"/>
        </w:rPr>
        <w:t>e</w:t>
      </w:r>
      <w:r w:rsidR="00D66D7F">
        <w:rPr>
          <w:rFonts w:ascii="Times New Roman" w:hAnsi="Times New Roman" w:cs="Times New Roman"/>
          <w:sz w:val="24"/>
          <w:szCs w:val="24"/>
        </w:rPr>
        <w:t>d</w:t>
      </w:r>
      <w:r w:rsidR="00CC5583">
        <w:rPr>
          <w:rFonts w:ascii="Times New Roman" w:hAnsi="Times New Roman" w:cs="Times New Roman"/>
          <w:sz w:val="24"/>
          <w:szCs w:val="24"/>
        </w:rPr>
        <w:t>ná</w:t>
      </w:r>
      <w:r w:rsidR="00D66D7F">
        <w:rPr>
          <w:rFonts w:ascii="Times New Roman" w:hAnsi="Times New Roman" w:cs="Times New Roman"/>
          <w:sz w:val="24"/>
          <w:szCs w:val="24"/>
        </w:rPr>
        <w:t xml:space="preserve"> o registrovanou kriminalitu a využívá</w:t>
      </w:r>
      <w:r w:rsidR="00CC5583">
        <w:rPr>
          <w:rFonts w:ascii="Times New Roman" w:hAnsi="Times New Roman" w:cs="Times New Roman"/>
          <w:sz w:val="24"/>
          <w:szCs w:val="24"/>
        </w:rPr>
        <w:t xml:space="preserve">na jsou </w:t>
      </w:r>
      <w:r w:rsidR="00D66D7F">
        <w:rPr>
          <w:rFonts w:ascii="Times New Roman" w:hAnsi="Times New Roman" w:cs="Times New Roman"/>
          <w:sz w:val="24"/>
          <w:szCs w:val="24"/>
        </w:rPr>
        <w:t xml:space="preserve">převážně </w:t>
      </w:r>
      <w:r w:rsidR="007B406B">
        <w:rPr>
          <w:rFonts w:ascii="Times New Roman" w:hAnsi="Times New Roman" w:cs="Times New Roman"/>
          <w:sz w:val="24"/>
          <w:szCs w:val="24"/>
        </w:rPr>
        <w:t xml:space="preserve">data z </w:t>
      </w:r>
      <w:r w:rsidR="007B406B" w:rsidRPr="007B406B">
        <w:rPr>
          <w:rFonts w:ascii="Times New Roman" w:hAnsi="Times New Roman" w:cs="Times New Roman"/>
          <w:sz w:val="24"/>
          <w:szCs w:val="24"/>
        </w:rPr>
        <w:t>pravideln</w:t>
      </w:r>
      <w:r w:rsidR="007B406B">
        <w:rPr>
          <w:rFonts w:ascii="Times New Roman" w:hAnsi="Times New Roman" w:cs="Times New Roman"/>
          <w:sz w:val="24"/>
          <w:szCs w:val="24"/>
        </w:rPr>
        <w:t>ých statistických</w:t>
      </w:r>
      <w:r w:rsidR="007B406B" w:rsidRPr="007B406B">
        <w:rPr>
          <w:rFonts w:ascii="Times New Roman" w:hAnsi="Times New Roman" w:cs="Times New Roman"/>
          <w:sz w:val="24"/>
          <w:szCs w:val="24"/>
        </w:rPr>
        <w:t xml:space="preserve"> přehled</w:t>
      </w:r>
      <w:r w:rsidR="007B406B">
        <w:rPr>
          <w:rFonts w:ascii="Times New Roman" w:hAnsi="Times New Roman" w:cs="Times New Roman"/>
          <w:sz w:val="24"/>
          <w:szCs w:val="24"/>
        </w:rPr>
        <w:t>ů kriminality Policie ČR i nestandardní sestavy.</w:t>
      </w:r>
    </w:p>
    <w:p w:rsidR="007B406B" w:rsidRPr="00770524" w:rsidRDefault="007B406B" w:rsidP="007B406B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70524">
        <w:rPr>
          <w:rFonts w:ascii="Times New Roman" w:hAnsi="Times New Roman" w:cs="Times New Roman"/>
          <w:b/>
          <w:bCs/>
          <w:sz w:val="24"/>
          <w:szCs w:val="24"/>
        </w:rPr>
        <w:t xml:space="preserve">Trestné činy evidované Policií ČR v </w:t>
      </w:r>
      <w:r w:rsidR="00982FA2">
        <w:rPr>
          <w:rFonts w:ascii="Times New Roman" w:hAnsi="Times New Roman" w:cs="Times New Roman"/>
          <w:b/>
          <w:bCs/>
          <w:sz w:val="24"/>
          <w:szCs w:val="24"/>
        </w:rPr>
        <w:t>letech 2008 - 2018</w:t>
      </w:r>
    </w:p>
    <w:p w:rsidR="007B406B" w:rsidRDefault="002067D6" w:rsidP="00D66D7F">
      <w:pPr>
        <w:jc w:val="both"/>
      </w:pPr>
      <w:r w:rsidRPr="002067D6">
        <w:rPr>
          <w:noProof/>
          <w:shd w:val="clear" w:color="auto" w:fill="FFFF00"/>
          <w:lang w:eastAsia="cs-CZ"/>
        </w:rPr>
        <w:drawing>
          <wp:inline distT="0" distB="0" distL="0" distR="0">
            <wp:extent cx="5730240" cy="3162300"/>
            <wp:effectExtent l="0" t="0" r="22860" b="19050"/>
            <wp:docPr id="1" name="Graf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</wp:inline>
        </w:drawing>
      </w:r>
    </w:p>
    <w:p w:rsidR="005B77E0" w:rsidRPr="005B77E0" w:rsidRDefault="005B77E0" w:rsidP="005B77E0">
      <w:pPr>
        <w:ind w:firstLine="708"/>
        <w:jc w:val="both"/>
        <w:rPr>
          <w:rFonts w:ascii="Times New Roman" w:hAnsi="Times New Roman" w:cs="Times New Roman"/>
        </w:rPr>
      </w:pPr>
      <w:r w:rsidRPr="005B77E0">
        <w:rPr>
          <w:rFonts w:ascii="Times New Roman" w:hAnsi="Times New Roman" w:cs="Times New Roman"/>
        </w:rPr>
        <w:t>Zdroj dat: Statistické přehledy kriminality Policie ČR</w:t>
      </w:r>
    </w:p>
    <w:p w:rsidR="002067D6" w:rsidRDefault="002067D6" w:rsidP="00CC5583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2067D6" w:rsidRDefault="002067D6" w:rsidP="00CC5583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2067D6" w:rsidRDefault="002067D6" w:rsidP="00CC5583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2067D6" w:rsidRDefault="002067D6" w:rsidP="00CC5583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26662F" w:rsidRPr="0060452B" w:rsidRDefault="0026662F" w:rsidP="002067D6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0452B">
        <w:rPr>
          <w:rFonts w:ascii="Times New Roman" w:hAnsi="Times New Roman" w:cs="Times New Roman"/>
          <w:sz w:val="24"/>
          <w:szCs w:val="24"/>
        </w:rPr>
        <w:lastRenderedPageBreak/>
        <w:t>Struktura kriminality se v zásadě nemění, pře</w:t>
      </w:r>
      <w:r>
        <w:rPr>
          <w:rFonts w:ascii="Times New Roman" w:hAnsi="Times New Roman" w:cs="Times New Roman"/>
          <w:sz w:val="24"/>
          <w:szCs w:val="24"/>
        </w:rPr>
        <w:t>važuje</w:t>
      </w:r>
      <w:r w:rsidRPr="0060452B">
        <w:rPr>
          <w:rFonts w:ascii="Times New Roman" w:hAnsi="Times New Roman" w:cs="Times New Roman"/>
          <w:sz w:val="24"/>
          <w:szCs w:val="24"/>
        </w:rPr>
        <w:t xml:space="preserve"> majetkov</w:t>
      </w:r>
      <w:r w:rsidR="00CC5583">
        <w:rPr>
          <w:rFonts w:ascii="Times New Roman" w:hAnsi="Times New Roman" w:cs="Times New Roman"/>
          <w:sz w:val="24"/>
          <w:szCs w:val="24"/>
        </w:rPr>
        <w:t>á trestná činnost. Pozornost bude věnována rovněž ostatním druhům</w:t>
      </w:r>
      <w:r w:rsidR="00EE5AE1">
        <w:rPr>
          <w:rFonts w:ascii="Times New Roman" w:hAnsi="Times New Roman" w:cs="Times New Roman"/>
          <w:sz w:val="24"/>
          <w:szCs w:val="24"/>
        </w:rPr>
        <w:t>,</w:t>
      </w:r>
      <w:r w:rsidR="0035261A">
        <w:rPr>
          <w:rFonts w:ascii="Times New Roman" w:hAnsi="Times New Roman" w:cs="Times New Roman"/>
          <w:sz w:val="24"/>
          <w:szCs w:val="24"/>
        </w:rPr>
        <w:t xml:space="preserve"> jejich specifikaci</w:t>
      </w:r>
      <w:r w:rsidR="00EE5AE1">
        <w:rPr>
          <w:rFonts w:ascii="Times New Roman" w:hAnsi="Times New Roman" w:cs="Times New Roman"/>
          <w:sz w:val="24"/>
          <w:szCs w:val="24"/>
        </w:rPr>
        <w:t>a trendům</w:t>
      </w:r>
      <w:r w:rsidR="005B77E0">
        <w:rPr>
          <w:rFonts w:ascii="Times New Roman" w:hAnsi="Times New Roman" w:cs="Times New Roman"/>
          <w:sz w:val="24"/>
          <w:szCs w:val="24"/>
        </w:rPr>
        <w:t>, nejčastějším trestným činům</w:t>
      </w:r>
      <w:r w:rsidR="00EE5AE1">
        <w:rPr>
          <w:rFonts w:ascii="Times New Roman" w:hAnsi="Times New Roman" w:cs="Times New Roman"/>
          <w:sz w:val="24"/>
          <w:szCs w:val="24"/>
        </w:rPr>
        <w:t xml:space="preserve"> a objasněnosti. </w:t>
      </w:r>
      <w:r w:rsidR="001B35B1">
        <w:rPr>
          <w:rFonts w:ascii="Times New Roman" w:hAnsi="Times New Roman" w:cs="Times New Roman"/>
          <w:sz w:val="24"/>
          <w:szCs w:val="24"/>
        </w:rPr>
        <w:t>Nárůst v roce 2018 zaznamenala jako jediná kriminalita mravnostní.</w:t>
      </w:r>
    </w:p>
    <w:p w:rsidR="00770524" w:rsidRPr="00BE379B" w:rsidRDefault="005B77E0" w:rsidP="00D66D7F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Struktura kriminality </w:t>
      </w:r>
      <w:r w:rsidR="005D40B4">
        <w:rPr>
          <w:rFonts w:ascii="Times New Roman" w:hAnsi="Times New Roman" w:cs="Times New Roman"/>
          <w:b/>
          <w:bCs/>
          <w:sz w:val="24"/>
          <w:szCs w:val="24"/>
        </w:rPr>
        <w:t xml:space="preserve">v roce </w:t>
      </w:r>
      <w:r>
        <w:rPr>
          <w:rFonts w:ascii="Times New Roman" w:hAnsi="Times New Roman" w:cs="Times New Roman"/>
          <w:b/>
          <w:bCs/>
          <w:sz w:val="24"/>
          <w:szCs w:val="24"/>
        </w:rPr>
        <w:t>2018</w:t>
      </w:r>
    </w:p>
    <w:p w:rsidR="00770524" w:rsidRDefault="005B77E0" w:rsidP="00BE379B">
      <w:pPr>
        <w:ind w:left="567"/>
        <w:jc w:val="both"/>
      </w:pPr>
      <w:r w:rsidRPr="005D40B4">
        <w:rPr>
          <w:rFonts w:ascii="Times New Roman" w:hAnsi="Times New Roman" w:cs="Times New Roman"/>
          <w:noProof/>
          <w:lang w:eastAsia="cs-CZ"/>
        </w:rPr>
        <w:drawing>
          <wp:inline distT="0" distB="0" distL="0" distR="0">
            <wp:extent cx="4892040" cy="2034540"/>
            <wp:effectExtent l="0" t="0" r="22860" b="22860"/>
            <wp:docPr id="6" name="Graf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</w:p>
    <w:p w:rsidR="0026662F" w:rsidRDefault="0026662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B77E0" w:rsidRPr="005B77E0" w:rsidRDefault="00CC5583" w:rsidP="005B77E0">
      <w:pPr>
        <w:ind w:firstLine="567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Z hlediska teritoriality byl zaznamenán </w:t>
      </w:r>
      <w:r w:rsidR="005B77E0">
        <w:rPr>
          <w:rFonts w:ascii="Times New Roman" w:hAnsi="Times New Roman" w:cs="Times New Roman"/>
          <w:sz w:val="24"/>
          <w:szCs w:val="24"/>
        </w:rPr>
        <w:t xml:space="preserve">v roce 2018 </w:t>
      </w:r>
      <w:r>
        <w:rPr>
          <w:rFonts w:ascii="Times New Roman" w:hAnsi="Times New Roman" w:cs="Times New Roman"/>
          <w:sz w:val="24"/>
          <w:szCs w:val="24"/>
        </w:rPr>
        <w:t xml:space="preserve">pokles </w:t>
      </w:r>
      <w:r w:rsidR="00F63BA6">
        <w:rPr>
          <w:rFonts w:ascii="Times New Roman" w:hAnsi="Times New Roman" w:cs="Times New Roman"/>
          <w:sz w:val="24"/>
          <w:szCs w:val="24"/>
        </w:rPr>
        <w:t xml:space="preserve">nápadu trestné činnosti </w:t>
      </w:r>
      <w:r>
        <w:rPr>
          <w:rFonts w:ascii="Times New Roman" w:hAnsi="Times New Roman" w:cs="Times New Roman"/>
          <w:sz w:val="24"/>
          <w:szCs w:val="24"/>
        </w:rPr>
        <w:t xml:space="preserve">ve všech krajích, s výjimkou </w:t>
      </w:r>
      <w:r w:rsidR="005B77E0">
        <w:rPr>
          <w:rFonts w:ascii="Times New Roman" w:hAnsi="Times New Roman" w:cs="Times New Roman"/>
          <w:sz w:val="24"/>
          <w:szCs w:val="24"/>
        </w:rPr>
        <w:t>Libereckého</w:t>
      </w:r>
      <w:r>
        <w:rPr>
          <w:rFonts w:ascii="Times New Roman" w:hAnsi="Times New Roman" w:cs="Times New Roman"/>
          <w:sz w:val="24"/>
          <w:szCs w:val="24"/>
        </w:rPr>
        <w:t xml:space="preserve"> a Plzeňského kraje</w:t>
      </w:r>
      <w:r w:rsidR="00F63BA6">
        <w:rPr>
          <w:rFonts w:ascii="Times New Roman" w:hAnsi="Times New Roman" w:cs="Times New Roman"/>
          <w:sz w:val="24"/>
          <w:szCs w:val="24"/>
        </w:rPr>
        <w:t xml:space="preserve">. Čtvrtinu nápadu tvoří </w:t>
      </w:r>
      <w:r w:rsidR="005B77E0">
        <w:rPr>
          <w:rFonts w:ascii="Times New Roman" w:hAnsi="Times New Roman" w:cs="Times New Roman"/>
          <w:sz w:val="24"/>
          <w:szCs w:val="24"/>
        </w:rPr>
        <w:t xml:space="preserve">nadále hlavní město </w:t>
      </w:r>
      <w:r w:rsidR="00F63BA6">
        <w:rPr>
          <w:rFonts w:ascii="Times New Roman" w:hAnsi="Times New Roman" w:cs="Times New Roman"/>
          <w:sz w:val="24"/>
          <w:szCs w:val="24"/>
        </w:rPr>
        <w:t xml:space="preserve">Praha. Oficiální data z policejních statistik zpracovává do </w:t>
      </w:r>
      <w:r w:rsidR="0035261A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35261A">
        <w:rPr>
          <w:rFonts w:ascii="Times New Roman" w:hAnsi="Times New Roman" w:cs="Times New Roman"/>
          <w:sz w:val="24"/>
          <w:szCs w:val="24"/>
        </w:rPr>
        <w:t>geo</w:t>
      </w:r>
      <w:proofErr w:type="spellEnd"/>
      <w:r w:rsidR="0035261A">
        <w:rPr>
          <w:rFonts w:ascii="Times New Roman" w:hAnsi="Times New Roman" w:cs="Times New Roman"/>
          <w:sz w:val="24"/>
          <w:szCs w:val="24"/>
        </w:rPr>
        <w:t>)</w:t>
      </w:r>
      <w:r w:rsidR="00F63BA6">
        <w:rPr>
          <w:rFonts w:ascii="Times New Roman" w:hAnsi="Times New Roman" w:cs="Times New Roman"/>
          <w:sz w:val="24"/>
          <w:szCs w:val="24"/>
        </w:rPr>
        <w:t xml:space="preserve">grafické podoby </w:t>
      </w:r>
      <w:proofErr w:type="spellStart"/>
      <w:r w:rsidR="00F63BA6">
        <w:rPr>
          <w:rFonts w:ascii="Times New Roman" w:hAnsi="Times New Roman" w:cs="Times New Roman"/>
          <w:sz w:val="24"/>
          <w:szCs w:val="24"/>
        </w:rPr>
        <w:t>ProPolice</w:t>
      </w:r>
      <w:proofErr w:type="spellEnd"/>
      <w:r w:rsidR="00F63BA6">
        <w:rPr>
          <w:rFonts w:ascii="Times New Roman" w:hAnsi="Times New Roman" w:cs="Times New Roman"/>
          <w:sz w:val="24"/>
          <w:szCs w:val="24"/>
        </w:rPr>
        <w:t xml:space="preserve">/Otevřená společnost, o. p. s. na </w:t>
      </w:r>
      <w:hyperlink r:id="rId7" w:history="1">
        <w:r w:rsidR="00F63BA6" w:rsidRPr="005B77E0">
          <w:rPr>
            <w:rStyle w:val="Hypertextovodkaz"/>
            <w:rFonts w:ascii="Times New Roman" w:hAnsi="Times New Roman" w:cs="Times New Roman"/>
            <w:sz w:val="24"/>
            <w:szCs w:val="24"/>
          </w:rPr>
          <w:t>www.mapakriminality.cz</w:t>
        </w:r>
      </w:hyperlink>
      <w:r w:rsidR="00F63BA6" w:rsidRPr="005B77E0">
        <w:rPr>
          <w:rFonts w:ascii="Times New Roman" w:hAnsi="Times New Roman" w:cs="Times New Roman"/>
          <w:sz w:val="24"/>
          <w:szCs w:val="24"/>
        </w:rPr>
        <w:t xml:space="preserve">. Níže </w:t>
      </w:r>
      <w:r w:rsidR="005B77E0" w:rsidRPr="005B77E0">
        <w:rPr>
          <w:rFonts w:ascii="Times New Roman" w:hAnsi="Times New Roman" w:cs="Times New Roman"/>
          <w:sz w:val="24"/>
          <w:szCs w:val="24"/>
        </w:rPr>
        <w:t xml:space="preserve">je </w:t>
      </w:r>
      <w:r w:rsidR="00F63BA6" w:rsidRPr="005B77E0">
        <w:rPr>
          <w:rFonts w:ascii="Times New Roman" w:hAnsi="Times New Roman" w:cs="Times New Roman"/>
          <w:sz w:val="24"/>
          <w:szCs w:val="24"/>
        </w:rPr>
        <w:t xml:space="preserve">např. nakonfigurován index kriminality </w:t>
      </w:r>
      <w:r w:rsidR="007C6670" w:rsidRPr="005B77E0">
        <w:rPr>
          <w:rFonts w:ascii="Times New Roman" w:hAnsi="Times New Roman" w:cs="Times New Roman"/>
          <w:sz w:val="24"/>
          <w:szCs w:val="24"/>
        </w:rPr>
        <w:t xml:space="preserve">(počet trestných činů na 10 tis. obyvatel) </w:t>
      </w:r>
      <w:r w:rsidR="00F63BA6" w:rsidRPr="005B77E0">
        <w:rPr>
          <w:rFonts w:ascii="Times New Roman" w:hAnsi="Times New Roman" w:cs="Times New Roman"/>
          <w:sz w:val="24"/>
          <w:szCs w:val="24"/>
        </w:rPr>
        <w:t>dle krajů ČR za rok 201</w:t>
      </w:r>
      <w:r w:rsidR="005B77E0" w:rsidRPr="005B77E0">
        <w:rPr>
          <w:rFonts w:ascii="Times New Roman" w:hAnsi="Times New Roman" w:cs="Times New Roman"/>
          <w:sz w:val="24"/>
          <w:szCs w:val="24"/>
        </w:rPr>
        <w:t>8</w:t>
      </w:r>
      <w:r w:rsidR="00F63BA6" w:rsidRPr="005B77E0">
        <w:rPr>
          <w:rFonts w:ascii="Times New Roman" w:hAnsi="Times New Roman" w:cs="Times New Roman"/>
          <w:sz w:val="24"/>
          <w:szCs w:val="24"/>
        </w:rPr>
        <w:t xml:space="preserve">. </w:t>
      </w:r>
      <w:r w:rsidR="005B77E0" w:rsidRPr="005B77E0">
        <w:rPr>
          <w:rFonts w:ascii="Times New Roman" w:hAnsi="Times New Roman" w:cs="Times New Roman"/>
          <w:sz w:val="24"/>
          <w:szCs w:val="24"/>
        </w:rPr>
        <w:t xml:space="preserve">Pohybuje se v rozmezí od </w:t>
      </w:r>
      <w:r w:rsidR="005B77E0" w:rsidRPr="005B77E0">
        <w:rPr>
          <w:rFonts w:ascii="Times New Roman" w:hAnsi="Times New Roman" w:cs="Times New Roman"/>
          <w:bCs/>
          <w:sz w:val="24"/>
          <w:szCs w:val="24"/>
        </w:rPr>
        <w:t>104 – 385, kdy pro porovnání pro celou ČR je to 183,5.</w:t>
      </w:r>
    </w:p>
    <w:p w:rsidR="00F63BA6" w:rsidRDefault="005B77E0">
      <w:pPr>
        <w:jc w:val="both"/>
        <w:rPr>
          <w:rFonts w:ascii="Times New Roman" w:hAnsi="Times New Roman" w:cs="Times New Roman"/>
          <w:sz w:val="24"/>
          <w:szCs w:val="24"/>
        </w:rPr>
      </w:pPr>
      <w:r w:rsidRPr="005B77E0"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>
            <wp:extent cx="5760720" cy="3402169"/>
            <wp:effectExtent l="0" t="0" r="0" b="8255"/>
            <wp:docPr id="205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4021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5D40B4" w:rsidRDefault="005D40B4" w:rsidP="00F63BA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F63BA6" w:rsidRDefault="00F63BA6" w:rsidP="00F63BA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V roce 201</w:t>
      </w:r>
      <w:r w:rsidR="005B77E0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 xml:space="preserve"> byl zaznamenán meziroční pokles počtu stíhaných a vyšetřovaných osob o </w:t>
      </w:r>
      <w:r w:rsidR="007C6670">
        <w:rPr>
          <w:rFonts w:ascii="Times New Roman" w:hAnsi="Times New Roman" w:cs="Times New Roman"/>
          <w:sz w:val="24"/>
          <w:szCs w:val="24"/>
        </w:rPr>
        <w:t xml:space="preserve">cca </w:t>
      </w:r>
      <w:r w:rsidR="001B35B1">
        <w:rPr>
          <w:rFonts w:ascii="Times New Roman" w:hAnsi="Times New Roman" w:cs="Times New Roman"/>
          <w:sz w:val="24"/>
          <w:szCs w:val="24"/>
        </w:rPr>
        <w:t xml:space="preserve">7 %, šlo o 84 990 osob. </w:t>
      </w:r>
      <w:r>
        <w:rPr>
          <w:rFonts w:ascii="Times New Roman" w:hAnsi="Times New Roman" w:cs="Times New Roman"/>
          <w:sz w:val="24"/>
          <w:szCs w:val="24"/>
        </w:rPr>
        <w:t>Nejčastěji se jedná o pachatele krádeží</w:t>
      </w:r>
      <w:r w:rsidR="005D40B4">
        <w:rPr>
          <w:rFonts w:ascii="Times New Roman" w:hAnsi="Times New Roman" w:cs="Times New Roman"/>
          <w:sz w:val="24"/>
          <w:szCs w:val="24"/>
        </w:rPr>
        <w:t xml:space="preserve"> (22 % z celkového počtu)</w:t>
      </w:r>
      <w:r>
        <w:rPr>
          <w:rFonts w:ascii="Times New Roman" w:hAnsi="Times New Roman" w:cs="Times New Roman"/>
          <w:sz w:val="24"/>
          <w:szCs w:val="24"/>
        </w:rPr>
        <w:t>, maření výkonu úředního rozhodnutí a vykázání</w:t>
      </w:r>
      <w:r w:rsidR="005D40B4">
        <w:rPr>
          <w:rFonts w:ascii="Times New Roman" w:hAnsi="Times New Roman" w:cs="Times New Roman"/>
          <w:sz w:val="24"/>
          <w:szCs w:val="24"/>
        </w:rPr>
        <w:t xml:space="preserve">, </w:t>
      </w:r>
      <w:r w:rsidR="005D40B4" w:rsidRPr="005D40B4">
        <w:rPr>
          <w:rFonts w:ascii="Times New Roman" w:hAnsi="Times New Roman" w:cs="Times New Roman"/>
          <w:sz w:val="24"/>
          <w:szCs w:val="24"/>
        </w:rPr>
        <w:t>ohrožení pod vlivem návykově látky, zanedbání povinné výživy, a nedbalostní dopravní nehody.</w:t>
      </w:r>
      <w:r w:rsidR="00F3315E">
        <w:rPr>
          <w:rFonts w:ascii="Times New Roman" w:hAnsi="Times New Roman" w:cs="Times New Roman"/>
          <w:sz w:val="24"/>
          <w:szCs w:val="24"/>
        </w:rPr>
        <w:t xml:space="preserve">Podíly </w:t>
      </w:r>
      <w:r w:rsidR="005D40B4">
        <w:rPr>
          <w:rFonts w:ascii="Times New Roman" w:hAnsi="Times New Roman" w:cs="Times New Roman"/>
          <w:sz w:val="24"/>
          <w:szCs w:val="24"/>
        </w:rPr>
        <w:t>žen a cizinců stagnují, počty opakovaně trestaných osob zaznamenaly pokles</w:t>
      </w:r>
      <w:r w:rsidR="00F3315E">
        <w:rPr>
          <w:rFonts w:ascii="Times New Roman" w:hAnsi="Times New Roman" w:cs="Times New Roman"/>
          <w:sz w:val="24"/>
          <w:szCs w:val="24"/>
        </w:rPr>
        <w:t>.</w:t>
      </w:r>
      <w:r w:rsidR="0035261A">
        <w:rPr>
          <w:rFonts w:ascii="Times New Roman" w:hAnsi="Times New Roman" w:cs="Times New Roman"/>
          <w:sz w:val="24"/>
          <w:szCs w:val="24"/>
        </w:rPr>
        <w:t xml:space="preserve">V produktivním věku je </w:t>
      </w:r>
      <w:r w:rsidR="00F3315E">
        <w:rPr>
          <w:rFonts w:ascii="Times New Roman" w:hAnsi="Times New Roman" w:cs="Times New Roman"/>
          <w:sz w:val="24"/>
          <w:szCs w:val="24"/>
        </w:rPr>
        <w:t>8</w:t>
      </w:r>
      <w:r w:rsidR="005D40B4">
        <w:rPr>
          <w:rFonts w:ascii="Times New Roman" w:hAnsi="Times New Roman" w:cs="Times New Roman"/>
          <w:sz w:val="24"/>
          <w:szCs w:val="24"/>
        </w:rPr>
        <w:t>5</w:t>
      </w:r>
      <w:r w:rsidR="00F3315E">
        <w:rPr>
          <w:rFonts w:ascii="Times New Roman" w:hAnsi="Times New Roman" w:cs="Times New Roman"/>
          <w:sz w:val="24"/>
          <w:szCs w:val="24"/>
        </w:rPr>
        <w:t xml:space="preserve"> % </w:t>
      </w:r>
      <w:r w:rsidR="000A4051">
        <w:rPr>
          <w:rFonts w:ascii="Times New Roman" w:hAnsi="Times New Roman" w:cs="Times New Roman"/>
          <w:sz w:val="24"/>
          <w:szCs w:val="24"/>
        </w:rPr>
        <w:t xml:space="preserve">všech </w:t>
      </w:r>
      <w:r w:rsidR="0035261A">
        <w:rPr>
          <w:rFonts w:ascii="Times New Roman" w:hAnsi="Times New Roman" w:cs="Times New Roman"/>
          <w:sz w:val="24"/>
          <w:szCs w:val="24"/>
        </w:rPr>
        <w:t>pachatelů</w:t>
      </w:r>
      <w:r w:rsidR="00F3315E">
        <w:rPr>
          <w:rFonts w:ascii="Times New Roman" w:hAnsi="Times New Roman" w:cs="Times New Roman"/>
          <w:sz w:val="24"/>
          <w:szCs w:val="24"/>
        </w:rPr>
        <w:t xml:space="preserve">, </w:t>
      </w:r>
      <w:r w:rsidR="005D40B4">
        <w:rPr>
          <w:rFonts w:ascii="Times New Roman" w:hAnsi="Times New Roman" w:cs="Times New Roman"/>
          <w:sz w:val="24"/>
          <w:szCs w:val="24"/>
        </w:rPr>
        <w:t xml:space="preserve">dalších </w:t>
      </w:r>
      <w:r w:rsidR="005D40B4">
        <w:rPr>
          <w:rFonts w:ascii="Times New Roman" w:hAnsi="Times New Roman" w:cs="Times New Roman"/>
          <w:b/>
          <w:bCs/>
          <w:sz w:val="24"/>
          <w:szCs w:val="24"/>
          <w:lang w:val="en-US"/>
        </w:rPr>
        <w:t>7 </w:t>
      </w:r>
      <w:r w:rsidR="005D40B4" w:rsidRPr="005D40B4">
        <w:rPr>
          <w:rFonts w:ascii="Times New Roman" w:hAnsi="Times New Roman" w:cs="Times New Roman"/>
          <w:b/>
          <w:bCs/>
          <w:sz w:val="24"/>
          <w:szCs w:val="24"/>
        </w:rPr>
        <w:t>%</w:t>
      </w:r>
      <w:r w:rsidR="005D40B4" w:rsidRPr="005D40B4">
        <w:rPr>
          <w:rFonts w:ascii="Times New Roman" w:hAnsi="Times New Roman" w:cs="Times New Roman"/>
          <w:sz w:val="24"/>
          <w:szCs w:val="24"/>
        </w:rPr>
        <w:t xml:space="preserve"> tvoří </w:t>
      </w:r>
      <w:r w:rsidR="005D40B4">
        <w:rPr>
          <w:rFonts w:ascii="Times New Roman" w:hAnsi="Times New Roman" w:cs="Times New Roman"/>
          <w:sz w:val="24"/>
          <w:szCs w:val="24"/>
        </w:rPr>
        <w:t>tzv. mladí dospělí;</w:t>
      </w:r>
      <w:r w:rsidR="00F3315E" w:rsidRPr="005D40B4">
        <w:rPr>
          <w:rFonts w:ascii="Times New Roman" w:hAnsi="Times New Roman" w:cs="Times New Roman"/>
          <w:sz w:val="24"/>
          <w:szCs w:val="24"/>
        </w:rPr>
        <w:t>osoby</w:t>
      </w:r>
      <w:r w:rsidR="00F3315E">
        <w:rPr>
          <w:rFonts w:ascii="Times New Roman" w:hAnsi="Times New Roman" w:cs="Times New Roman"/>
          <w:sz w:val="24"/>
          <w:szCs w:val="24"/>
        </w:rPr>
        <w:t xml:space="preserve"> do 18 let se podílejí na páchání trestné činnosti 5 %.</w:t>
      </w:r>
    </w:p>
    <w:p w:rsidR="00EE5AE1" w:rsidRPr="005D40B4" w:rsidRDefault="005D40B4" w:rsidP="005D40B4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5D40B4">
        <w:rPr>
          <w:rFonts w:ascii="Times New Roman" w:hAnsi="Times New Roman" w:cs="Times New Roman"/>
          <w:b/>
          <w:sz w:val="24"/>
          <w:szCs w:val="24"/>
        </w:rPr>
        <w:t>Str</w:t>
      </w:r>
      <w:r w:rsidR="00096CF9" w:rsidRPr="005D40B4">
        <w:rPr>
          <w:rFonts w:ascii="Times New Roman" w:hAnsi="Times New Roman" w:cs="Times New Roman"/>
          <w:b/>
          <w:sz w:val="24"/>
          <w:szCs w:val="24"/>
        </w:rPr>
        <w:t xml:space="preserve">uktura pachatelů </w:t>
      </w:r>
      <w:r>
        <w:rPr>
          <w:rFonts w:ascii="Times New Roman" w:hAnsi="Times New Roman" w:cs="Times New Roman"/>
          <w:b/>
          <w:sz w:val="24"/>
          <w:szCs w:val="24"/>
        </w:rPr>
        <w:t xml:space="preserve">v roce 2018 </w:t>
      </w:r>
      <w:r w:rsidR="00096CF9" w:rsidRPr="005D40B4">
        <w:rPr>
          <w:rFonts w:ascii="Times New Roman" w:hAnsi="Times New Roman" w:cs="Times New Roman"/>
          <w:b/>
          <w:sz w:val="24"/>
          <w:szCs w:val="24"/>
        </w:rPr>
        <w:t xml:space="preserve">dle věku </w:t>
      </w:r>
    </w:p>
    <w:p w:rsidR="007C6670" w:rsidRDefault="00EE5AE1">
      <w:pPr>
        <w:jc w:val="both"/>
        <w:rPr>
          <w:rFonts w:ascii="Times New Roman" w:hAnsi="Times New Roman" w:cs="Times New Roman"/>
          <w:sz w:val="24"/>
          <w:szCs w:val="24"/>
        </w:rPr>
      </w:pPr>
      <w:r w:rsidRPr="00EE5AE1"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>
            <wp:extent cx="5509260" cy="1699260"/>
            <wp:effectExtent l="0" t="0" r="15240" b="15240"/>
            <wp:docPr id="7" name="Graf 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1B35B1" w:rsidRDefault="001B35B1">
      <w:pPr>
        <w:jc w:val="both"/>
      </w:pPr>
    </w:p>
    <w:p w:rsidR="001B35B1" w:rsidRPr="001B35B1" w:rsidRDefault="001B35B1" w:rsidP="001B35B1">
      <w:pPr>
        <w:tabs>
          <w:tab w:val="num" w:pos="567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ab/>
      </w:r>
      <w:r w:rsidRPr="001B35B1">
        <w:rPr>
          <w:rFonts w:ascii="Times New Roman" w:hAnsi="Times New Roman" w:cs="Times New Roman"/>
          <w:bCs/>
          <w:sz w:val="24"/>
          <w:szCs w:val="24"/>
        </w:rPr>
        <w:t xml:space="preserve">Závěrem je možno konstatovat pokračující </w:t>
      </w:r>
      <w:r w:rsidR="00921B23" w:rsidRPr="001B35B1">
        <w:rPr>
          <w:rFonts w:ascii="Times New Roman" w:hAnsi="Times New Roman" w:cs="Times New Roman"/>
          <w:bCs/>
          <w:sz w:val="24"/>
          <w:szCs w:val="24"/>
        </w:rPr>
        <w:t xml:space="preserve">klesající trend </w:t>
      </w:r>
      <w:r>
        <w:rPr>
          <w:rFonts w:ascii="Times New Roman" w:hAnsi="Times New Roman" w:cs="Times New Roman"/>
          <w:bCs/>
          <w:sz w:val="24"/>
          <w:szCs w:val="24"/>
        </w:rPr>
        <w:t xml:space="preserve">v trestné činnosti </w:t>
      </w:r>
      <w:r w:rsidR="00921B23" w:rsidRPr="001B35B1">
        <w:rPr>
          <w:rFonts w:ascii="Times New Roman" w:hAnsi="Times New Roman" w:cs="Times New Roman"/>
          <w:bCs/>
          <w:sz w:val="24"/>
          <w:szCs w:val="24"/>
        </w:rPr>
        <w:t>(</w:t>
      </w:r>
      <w:r w:rsidRPr="001B35B1">
        <w:rPr>
          <w:rFonts w:ascii="Times New Roman" w:hAnsi="Times New Roman" w:cs="Times New Roman"/>
          <w:bCs/>
          <w:sz w:val="24"/>
          <w:szCs w:val="24"/>
        </w:rPr>
        <w:t xml:space="preserve">s </w:t>
      </w:r>
      <w:proofErr w:type="spellStart"/>
      <w:r w:rsidRPr="001B35B1">
        <w:rPr>
          <w:rFonts w:ascii="Times New Roman" w:hAnsi="Times New Roman" w:cs="Times New Roman"/>
          <w:bCs/>
          <w:sz w:val="24"/>
          <w:szCs w:val="24"/>
        </w:rPr>
        <w:t>výj</w:t>
      </w:r>
      <w:proofErr w:type="spellEnd"/>
      <w:r w:rsidRPr="001B35B1">
        <w:rPr>
          <w:rFonts w:ascii="Times New Roman" w:hAnsi="Times New Roman" w:cs="Times New Roman"/>
          <w:bCs/>
          <w:sz w:val="24"/>
          <w:szCs w:val="24"/>
        </w:rPr>
        <w:t>. roku</w:t>
      </w:r>
      <w:r w:rsidR="000C3FBB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1B35B1">
        <w:rPr>
          <w:rFonts w:ascii="Times New Roman" w:hAnsi="Times New Roman" w:cs="Times New Roman"/>
          <w:bCs/>
          <w:sz w:val="24"/>
          <w:szCs w:val="24"/>
        </w:rPr>
        <w:t xml:space="preserve">2013 - </w:t>
      </w:r>
      <w:r w:rsidR="00921B23" w:rsidRPr="001B35B1">
        <w:rPr>
          <w:rFonts w:ascii="Times New Roman" w:hAnsi="Times New Roman" w:cs="Times New Roman"/>
          <w:bCs/>
          <w:sz w:val="24"/>
          <w:szCs w:val="24"/>
        </w:rPr>
        <w:t>amnestie)</w:t>
      </w:r>
      <w:r w:rsidRPr="001B35B1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="00921B23" w:rsidRPr="001B35B1">
        <w:rPr>
          <w:rFonts w:ascii="Times New Roman" w:hAnsi="Times New Roman" w:cs="Times New Roman"/>
          <w:bCs/>
          <w:sz w:val="24"/>
          <w:szCs w:val="24"/>
        </w:rPr>
        <w:t xml:space="preserve">meziroční pokles registrovaných skutků </w:t>
      </w:r>
      <w:r w:rsidR="00921B23">
        <w:rPr>
          <w:rFonts w:ascii="Times New Roman" w:hAnsi="Times New Roman" w:cs="Times New Roman"/>
          <w:bCs/>
          <w:sz w:val="24"/>
          <w:szCs w:val="24"/>
        </w:rPr>
        <w:t xml:space="preserve">v roce 2018 </w:t>
      </w:r>
      <w:r w:rsidRPr="001B35B1">
        <w:rPr>
          <w:rFonts w:ascii="Times New Roman" w:hAnsi="Times New Roman" w:cs="Times New Roman"/>
          <w:bCs/>
          <w:sz w:val="24"/>
          <w:szCs w:val="24"/>
        </w:rPr>
        <w:t xml:space="preserve">činil 5 %. </w:t>
      </w:r>
      <w:r w:rsidRPr="001B35B1">
        <w:rPr>
          <w:rFonts w:ascii="Times New Roman" w:hAnsi="Times New Roman" w:cs="Times New Roman"/>
          <w:sz w:val="24"/>
          <w:szCs w:val="24"/>
        </w:rPr>
        <w:t xml:space="preserve"> V minulém srovnání let 2016/2017</w:t>
      </w:r>
      <w:r w:rsidRPr="001B35B1">
        <w:rPr>
          <w:rFonts w:ascii="Times New Roman" w:hAnsi="Times New Roman" w:cs="Times New Roman"/>
          <w:bCs/>
          <w:sz w:val="24"/>
          <w:szCs w:val="24"/>
        </w:rPr>
        <w:t xml:space="preserve"> šlo o 7% pokles, mezi lety </w:t>
      </w:r>
      <w:r w:rsidRPr="001B35B1">
        <w:rPr>
          <w:rFonts w:ascii="Times New Roman" w:hAnsi="Times New Roman" w:cs="Times New Roman"/>
          <w:sz w:val="24"/>
          <w:szCs w:val="24"/>
        </w:rPr>
        <w:t xml:space="preserve">2015/2016 dokonce </w:t>
      </w:r>
      <w:r w:rsidRPr="001B35B1">
        <w:rPr>
          <w:rFonts w:ascii="Times New Roman" w:hAnsi="Times New Roman" w:cs="Times New Roman"/>
          <w:bCs/>
          <w:sz w:val="24"/>
          <w:szCs w:val="24"/>
        </w:rPr>
        <w:t xml:space="preserve">o 12%. Jako důvod </w:t>
      </w:r>
      <w:r w:rsidR="00921B23">
        <w:rPr>
          <w:rFonts w:ascii="Times New Roman" w:hAnsi="Times New Roman" w:cs="Times New Roman"/>
          <w:bCs/>
          <w:sz w:val="24"/>
          <w:szCs w:val="24"/>
        </w:rPr>
        <w:t>tohoto pozitivního vývoje j</w:t>
      </w:r>
      <w:r w:rsidR="00FC2B66">
        <w:rPr>
          <w:rFonts w:ascii="Times New Roman" w:hAnsi="Times New Roman" w:cs="Times New Roman"/>
          <w:bCs/>
          <w:sz w:val="24"/>
          <w:szCs w:val="24"/>
        </w:rPr>
        <w:t>eudává</w:t>
      </w:r>
      <w:r w:rsidR="00921B23">
        <w:rPr>
          <w:rFonts w:ascii="Times New Roman" w:hAnsi="Times New Roman" w:cs="Times New Roman"/>
          <w:bCs/>
          <w:sz w:val="24"/>
          <w:szCs w:val="24"/>
        </w:rPr>
        <w:t>n</w:t>
      </w:r>
      <w:r w:rsidRPr="001B35B1">
        <w:rPr>
          <w:rFonts w:ascii="Times New Roman" w:hAnsi="Times New Roman" w:cs="Times New Roman"/>
          <w:bCs/>
          <w:sz w:val="24"/>
          <w:szCs w:val="24"/>
        </w:rPr>
        <w:t xml:space="preserve"> pozitivní socioekonomický vývoj, kombinace legislativních, preventivních a kontrolních opatření a narůstající gramotnost a opatrnost při používání internetu. Nutno ale mít na zřeteli pravděpodobně vysokou míru </w:t>
      </w:r>
      <w:r w:rsidR="00921B23">
        <w:rPr>
          <w:rFonts w:ascii="Times New Roman" w:hAnsi="Times New Roman" w:cs="Times New Roman"/>
          <w:sz w:val="24"/>
          <w:szCs w:val="24"/>
        </w:rPr>
        <w:t xml:space="preserve">latence </w:t>
      </w:r>
      <w:r w:rsidRPr="001B35B1">
        <w:rPr>
          <w:rFonts w:ascii="Times New Roman" w:hAnsi="Times New Roman" w:cs="Times New Roman"/>
          <w:sz w:val="24"/>
          <w:szCs w:val="24"/>
        </w:rPr>
        <w:t>a přesun trestné činnosti do kyberprostoru</w:t>
      </w:r>
      <w:r w:rsidR="00921B23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FC2B66" w:rsidRPr="00FC2B66" w:rsidRDefault="00FC2B66" w:rsidP="00FC2B66">
      <w:pPr>
        <w:ind w:left="2124"/>
        <w:jc w:val="both"/>
        <w:rPr>
          <w:rFonts w:ascii="Times New Roman" w:hAnsi="Times New Roman" w:cs="Times New Roman"/>
          <w:sz w:val="24"/>
          <w:szCs w:val="24"/>
        </w:rPr>
      </w:pPr>
      <w:r w:rsidRPr="00FC2B66">
        <w:rPr>
          <w:rFonts w:ascii="Times New Roman" w:hAnsi="Times New Roman" w:cs="Times New Roman"/>
          <w:sz w:val="24"/>
          <w:szCs w:val="24"/>
        </w:rPr>
        <w:t>JUDr. Simona Diblíková, Institut pro kriminologii a sociální prevenci</w:t>
      </w:r>
    </w:p>
    <w:bookmarkStart w:id="0" w:name="_GoBack"/>
    <w:bookmarkEnd w:id="0"/>
    <w:p w:rsidR="007C6670" w:rsidRPr="00FC2B66" w:rsidRDefault="0018731D" w:rsidP="00FC2B66">
      <w:pPr>
        <w:ind w:left="424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8731D">
        <w:fldChar w:fldCharType="begin"/>
      </w:r>
      <w:r w:rsidR="00921B23" w:rsidRPr="00FC2B66">
        <w:rPr>
          <w:rFonts w:ascii="Times New Roman" w:hAnsi="Times New Roman" w:cs="Times New Roman"/>
          <w:sz w:val="24"/>
          <w:szCs w:val="24"/>
        </w:rPr>
        <w:instrText xml:space="preserve"> HYPERLINK "mailto:SDiblikova@iksp.justice.cz" </w:instrText>
      </w:r>
      <w:r w:rsidRPr="0018731D">
        <w:fldChar w:fldCharType="separate"/>
      </w:r>
      <w:r w:rsidR="007C6670" w:rsidRPr="00FC2B66">
        <w:rPr>
          <w:rStyle w:val="Hypertextovodkaz"/>
          <w:rFonts w:ascii="Times New Roman" w:hAnsi="Times New Roman" w:cs="Times New Roman"/>
          <w:sz w:val="24"/>
          <w:szCs w:val="24"/>
        </w:rPr>
        <w:t>SDiblikova@iksp.justice.cz</w:t>
      </w:r>
      <w:r w:rsidRPr="00FC2B66">
        <w:rPr>
          <w:rStyle w:val="Hypertextovodkaz"/>
          <w:rFonts w:ascii="Times New Roman" w:hAnsi="Times New Roman" w:cs="Times New Roman"/>
          <w:sz w:val="24"/>
          <w:szCs w:val="24"/>
        </w:rPr>
        <w:fldChar w:fldCharType="end"/>
      </w:r>
    </w:p>
    <w:p w:rsidR="00F3315E" w:rsidRPr="00FC2B66" w:rsidRDefault="0018731D" w:rsidP="00FC2B66">
      <w:pPr>
        <w:ind w:left="4248" w:firstLine="708"/>
        <w:jc w:val="both"/>
        <w:rPr>
          <w:rFonts w:ascii="Times New Roman" w:hAnsi="Times New Roman" w:cs="Times New Roman"/>
          <w:sz w:val="24"/>
          <w:szCs w:val="24"/>
        </w:rPr>
      </w:pPr>
      <w:hyperlink r:id="rId10" w:history="1">
        <w:r w:rsidR="00F3315E" w:rsidRPr="00FC2B66">
          <w:rPr>
            <w:rStyle w:val="Hypertextovodkaz"/>
            <w:rFonts w:ascii="Times New Roman" w:hAnsi="Times New Roman" w:cs="Times New Roman"/>
            <w:sz w:val="24"/>
            <w:szCs w:val="24"/>
          </w:rPr>
          <w:t>www.kriminologie.cz</w:t>
        </w:r>
      </w:hyperlink>
    </w:p>
    <w:p w:rsidR="00F3315E" w:rsidRPr="00FC2B66" w:rsidRDefault="00F3315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3315E" w:rsidRPr="0060452B" w:rsidRDefault="00F3315E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F3315E" w:rsidRPr="0060452B" w:rsidSect="0018731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DE1003"/>
    <w:multiLevelType w:val="hybridMultilevel"/>
    <w:tmpl w:val="DD0CC7AE"/>
    <w:lvl w:ilvl="0" w:tplc="EA28B1D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FA080AC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162619A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6182776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AD0BBAE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C3E7BA8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8BC5A0A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EA688D0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AEA94E2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43C22F6E"/>
    <w:multiLevelType w:val="hybridMultilevel"/>
    <w:tmpl w:val="AC689F92"/>
    <w:lvl w:ilvl="0" w:tplc="103E864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5AE9DA6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0EA01B6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ADACAAC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BFC6CEA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0B22936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B24CD0E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3B87460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BA87FC8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66D7F"/>
    <w:rsid w:val="00096CF9"/>
    <w:rsid w:val="000A4051"/>
    <w:rsid w:val="000C3FBB"/>
    <w:rsid w:val="0018731D"/>
    <w:rsid w:val="001B35B1"/>
    <w:rsid w:val="002067D6"/>
    <w:rsid w:val="0026662F"/>
    <w:rsid w:val="0035261A"/>
    <w:rsid w:val="005B77E0"/>
    <w:rsid w:val="005D40B4"/>
    <w:rsid w:val="0060452B"/>
    <w:rsid w:val="00770524"/>
    <w:rsid w:val="007B406B"/>
    <w:rsid w:val="007C6670"/>
    <w:rsid w:val="00921B23"/>
    <w:rsid w:val="00982FA2"/>
    <w:rsid w:val="00A623FA"/>
    <w:rsid w:val="00A86464"/>
    <w:rsid w:val="00AA68A4"/>
    <w:rsid w:val="00BE379B"/>
    <w:rsid w:val="00CC5583"/>
    <w:rsid w:val="00CE6FC6"/>
    <w:rsid w:val="00D66D7F"/>
    <w:rsid w:val="00E734E6"/>
    <w:rsid w:val="00EE5AE1"/>
    <w:rsid w:val="00F3315E"/>
    <w:rsid w:val="00F63BA6"/>
    <w:rsid w:val="00FC2B6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8731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B40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B406B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F63BA6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semiHidden/>
    <w:unhideWhenUsed/>
    <w:rsid w:val="005B77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B40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B406B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F63BA6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semiHidden/>
    <w:unhideWhenUsed/>
    <w:rsid w:val="005B77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98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8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81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41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04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7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055936">
          <w:marLeft w:val="54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77803">
          <w:marLeft w:val="54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432251">
          <w:marLeft w:val="54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011903">
          <w:marLeft w:val="54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54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hyperlink" Target="http://www.mapakriminality.cz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hart" Target="charts/chart2.xml"/><Relationship Id="rId11" Type="http://schemas.openxmlformats.org/officeDocument/2006/relationships/fontTable" Target="fontTable.xml"/><Relationship Id="rId5" Type="http://schemas.openxmlformats.org/officeDocument/2006/relationships/chart" Target="charts/chart1.xml"/><Relationship Id="rId10" Type="http://schemas.openxmlformats.org/officeDocument/2006/relationships/hyperlink" Target="http://www.kriminologie.cz" TargetMode="External"/><Relationship Id="rId4" Type="http://schemas.openxmlformats.org/officeDocument/2006/relationships/webSettings" Target="webSettings.xml"/><Relationship Id="rId9" Type="http://schemas.openxmlformats.org/officeDocument/2006/relationships/chart" Target="charts/chart3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chartUserShapes" Target="../drawings/drawing1.xml"/><Relationship Id="rId2" Type="http://schemas.openxmlformats.org/officeDocument/2006/relationships/package" Target="../embeddings/List_aplikace_Microsoft_Office_Excel1.xlsx"/><Relationship Id="rId1" Type="http://schemas.openxmlformats.org/officeDocument/2006/relationships/themeOverride" Target="../theme/themeOverride1.xm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List_aplikace_Microsoft_Office_Excel2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SDiblikova\Desktop\grafy%20RO&#268;ENKA\for%202018\V&#283;k%202018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cs-CZ"/>
  <c:clrMapOvr bg1="lt1" tx1="dk1" bg2="lt2" tx2="dk2" accent1="accent1" accent2="accent2" accent3="accent3" accent4="accent4" accent5="accent5" accent6="accent6" hlink="hlink" folHlink="folHlink"/>
  <c:chart>
    <c:autoTitleDeleted val="1"/>
    <c:plotArea>
      <c:layout>
        <c:manualLayout>
          <c:layoutTarget val="inner"/>
          <c:xMode val="edge"/>
          <c:yMode val="edge"/>
          <c:x val="0.1601931235512439"/>
          <c:y val="0.13560975400592581"/>
          <c:w val="0.79673994444763063"/>
          <c:h val="0.6378737541528241"/>
        </c:manualLayout>
      </c:layout>
      <c:lineChart>
        <c:grouping val="standard"/>
        <c:ser>
          <c:idx val="1"/>
          <c:order val="0"/>
          <c:tx>
            <c:v>evidované</c:v>
          </c:tx>
          <c:spPr>
            <a:ln w="12700">
              <a:solidFill>
                <a:srgbClr val="FF00FF"/>
              </a:solidFill>
              <a:prstDash val="solid"/>
            </a:ln>
          </c:spPr>
          <c:marker>
            <c:symbol val="square"/>
            <c:size val="8"/>
            <c:spPr>
              <a:solidFill>
                <a:srgbClr val="FF00FF"/>
              </a:solidFill>
              <a:ln>
                <a:solidFill>
                  <a:srgbClr val="FF00FF"/>
                </a:solidFill>
                <a:prstDash val="solid"/>
              </a:ln>
            </c:spPr>
          </c:marker>
          <c:cat>
            <c:numRef>
              <c:f>List1!$A$11:$A$21</c:f>
              <c:numCache>
                <c:formatCode>General</c:formatCode>
                <c:ptCount val="11"/>
                <c:pt idx="0">
                  <c:v>2008</c:v>
                </c:pt>
                <c:pt idx="1">
                  <c:v>2009</c:v>
                </c:pt>
                <c:pt idx="2">
                  <c:v>2010</c:v>
                </c:pt>
                <c:pt idx="3">
                  <c:v>2011</c:v>
                </c:pt>
                <c:pt idx="4">
                  <c:v>2012</c:v>
                </c:pt>
                <c:pt idx="5">
                  <c:v>2013</c:v>
                </c:pt>
                <c:pt idx="6">
                  <c:v>2014</c:v>
                </c:pt>
                <c:pt idx="7">
                  <c:v>2015</c:v>
                </c:pt>
                <c:pt idx="8">
                  <c:v>2016</c:v>
                </c:pt>
                <c:pt idx="9">
                  <c:v>2017</c:v>
                </c:pt>
                <c:pt idx="10">
                  <c:v>2018</c:v>
                </c:pt>
              </c:numCache>
            </c:numRef>
          </c:cat>
          <c:val>
            <c:numRef>
              <c:f>List1!$B$11:$B$21</c:f>
              <c:numCache>
                <c:formatCode>General</c:formatCode>
                <c:ptCount val="11"/>
                <c:pt idx="0">
                  <c:v>343799</c:v>
                </c:pt>
                <c:pt idx="1">
                  <c:v>332829</c:v>
                </c:pt>
                <c:pt idx="2">
                  <c:v>313387</c:v>
                </c:pt>
                <c:pt idx="3">
                  <c:v>317177</c:v>
                </c:pt>
                <c:pt idx="4">
                  <c:v>304528</c:v>
                </c:pt>
                <c:pt idx="5">
                  <c:v>325366</c:v>
                </c:pt>
                <c:pt idx="6">
                  <c:v>288660</c:v>
                </c:pt>
                <c:pt idx="7">
                  <c:v>247628</c:v>
                </c:pt>
                <c:pt idx="8">
                  <c:v>218162</c:v>
                </c:pt>
                <c:pt idx="9">
                  <c:v>202303</c:v>
                </c:pt>
                <c:pt idx="10">
                  <c:v>192405</c:v>
                </c:pt>
              </c:numCache>
            </c:numRef>
          </c:val>
        </c:ser>
        <c:ser>
          <c:idx val="2"/>
          <c:order val="1"/>
          <c:tx>
            <c:v>objasněné</c:v>
          </c:tx>
          <c:marker>
            <c:symbol val="circle"/>
            <c:size val="8"/>
          </c:marker>
          <c:cat>
            <c:numRef>
              <c:f>List1!$A$11:$A$21</c:f>
              <c:numCache>
                <c:formatCode>General</c:formatCode>
                <c:ptCount val="11"/>
                <c:pt idx="0">
                  <c:v>2008</c:v>
                </c:pt>
                <c:pt idx="1">
                  <c:v>2009</c:v>
                </c:pt>
                <c:pt idx="2">
                  <c:v>2010</c:v>
                </c:pt>
                <c:pt idx="3">
                  <c:v>2011</c:v>
                </c:pt>
                <c:pt idx="4">
                  <c:v>2012</c:v>
                </c:pt>
                <c:pt idx="5">
                  <c:v>2013</c:v>
                </c:pt>
                <c:pt idx="6">
                  <c:v>2014</c:v>
                </c:pt>
                <c:pt idx="7">
                  <c:v>2015</c:v>
                </c:pt>
                <c:pt idx="8">
                  <c:v>2016</c:v>
                </c:pt>
                <c:pt idx="9">
                  <c:v>2017</c:v>
                </c:pt>
                <c:pt idx="10">
                  <c:v>2018</c:v>
                </c:pt>
              </c:numCache>
            </c:numRef>
          </c:cat>
          <c:val>
            <c:numRef>
              <c:f>List1!$C$11:$C$21</c:f>
              <c:numCache>
                <c:formatCode>General</c:formatCode>
                <c:ptCount val="11"/>
                <c:pt idx="0">
                  <c:v>127906</c:v>
                </c:pt>
                <c:pt idx="1">
                  <c:v>127604</c:v>
                </c:pt>
                <c:pt idx="2">
                  <c:v>117685</c:v>
                </c:pt>
                <c:pt idx="3">
                  <c:v>122238</c:v>
                </c:pt>
                <c:pt idx="4">
                  <c:v>120168</c:v>
                </c:pt>
                <c:pt idx="5">
                  <c:v>129181</c:v>
                </c:pt>
                <c:pt idx="6">
                  <c:v>126237</c:v>
                </c:pt>
                <c:pt idx="7">
                  <c:v>112141</c:v>
                </c:pt>
                <c:pt idx="8">
                  <c:v>101678</c:v>
                </c:pt>
                <c:pt idx="9">
                  <c:v>94890</c:v>
                </c:pt>
                <c:pt idx="10">
                  <c:v>92795</c:v>
                </c:pt>
              </c:numCache>
            </c:numRef>
          </c:val>
        </c:ser>
        <c:marker val="1"/>
        <c:axId val="82747392"/>
        <c:axId val="82749696"/>
      </c:lineChart>
      <c:catAx>
        <c:axId val="82747392"/>
        <c:scaling>
          <c:orientation val="minMax"/>
        </c:scaling>
        <c:axPos val="b"/>
        <c:numFmt formatCode="General" sourceLinked="1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/>
            </a:pPr>
            <a:endParaRPr lang="cs-CZ"/>
          </a:p>
        </c:txPr>
        <c:crossAx val="82749696"/>
        <c:crosses val="autoZero"/>
        <c:auto val="1"/>
        <c:lblAlgn val="ctr"/>
        <c:lblOffset val="100"/>
        <c:tickMarkSkip val="1"/>
      </c:catAx>
      <c:valAx>
        <c:axId val="82749696"/>
        <c:scaling>
          <c:orientation val="minMax"/>
        </c:scaling>
        <c:axPos val="l"/>
        <c:majorGridlines>
          <c:spPr>
            <a:ln w="3175">
              <a:solidFill>
                <a:srgbClr val="000000"/>
              </a:solidFill>
              <a:prstDash val="solid"/>
            </a:ln>
          </c:spPr>
        </c:majorGridlines>
        <c:title>
          <c:tx>
            <c:rich>
              <a:bodyPr/>
              <a:lstStyle/>
              <a:p>
                <a:pPr>
                  <a:defRPr sz="1000"/>
                </a:pPr>
                <a:r>
                  <a:rPr lang="cs-CZ" sz="1000"/>
                  <a:t>počty trestných činů</a:t>
                </a:r>
              </a:p>
            </c:rich>
          </c:tx>
          <c:layout>
            <c:manualLayout>
              <c:xMode val="edge"/>
              <c:yMode val="edge"/>
              <c:x val="3.3604875188473812E-2"/>
              <c:y val="0.30174841096670146"/>
            </c:manualLayout>
          </c:layout>
          <c:spPr>
            <a:noFill/>
            <a:ln w="25400">
              <a:noFill/>
            </a:ln>
          </c:spPr>
        </c:title>
        <c:numFmt formatCode="General" sourceLinked="1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100"/>
            </a:pPr>
            <a:endParaRPr lang="cs-CZ"/>
          </a:p>
        </c:txPr>
        <c:crossAx val="82747392"/>
        <c:crosses val="autoZero"/>
        <c:crossBetween val="between"/>
      </c:valAx>
      <c:dTable>
        <c:showHorzBorder val="1"/>
        <c:showVertBorder val="1"/>
        <c:showOutline val="1"/>
        <c:showKeys val="1"/>
        <c:spPr>
          <a:ln w="3175">
            <a:solidFill>
              <a:srgbClr val="000000"/>
            </a:solidFill>
            <a:prstDash val="solid"/>
          </a:ln>
        </c:spPr>
        <c:txPr>
          <a:bodyPr/>
          <a:lstStyle/>
          <a:p>
            <a:pPr rtl="0">
              <a:defRPr sz="1000" b="1"/>
            </a:pPr>
            <a:endParaRPr lang="cs-CZ"/>
          </a:p>
        </c:txPr>
      </c:dTable>
      <c:spPr>
        <a:solidFill>
          <a:srgbClr val="FFFFFF"/>
        </a:solidFill>
        <a:ln w="12700">
          <a:solidFill>
            <a:srgbClr val="808080"/>
          </a:solidFill>
          <a:prstDash val="solid"/>
        </a:ln>
      </c:spPr>
    </c:plotArea>
    <c:plotVisOnly val="1"/>
    <c:dispBlanksAs val="gap"/>
  </c:chart>
  <c:spPr>
    <a:solidFill>
      <a:srgbClr val="FFFFFF"/>
    </a:solidFill>
    <a:ln w="3175">
      <a:solidFill>
        <a:srgbClr val="000000"/>
      </a:solidFill>
      <a:prstDash val="solid"/>
    </a:ln>
  </c:spPr>
  <c:txPr>
    <a:bodyPr/>
    <a:lstStyle/>
    <a:p>
      <a:pPr>
        <a:defRPr sz="1200" b="0" i="0" u="none" strike="noStrike" baseline="0">
          <a:solidFill>
            <a:srgbClr val="000000"/>
          </a:solidFill>
          <a:latin typeface="Times New Roman" panose="02020603050405020304" pitchFamily="18" charset="0"/>
          <a:ea typeface="Arial CE"/>
          <a:cs typeface="Times New Roman" panose="02020603050405020304" pitchFamily="18" charset="0"/>
        </a:defRPr>
      </a:pPr>
      <a:endParaRPr lang="cs-CZ"/>
    </a:p>
  </c:txPr>
  <c:externalData r:id="rId2"/>
  <c:userShapes r:id="rId3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cs-CZ"/>
  <c:chart>
    <c:view3D>
      <c:rotX val="30"/>
      <c:perspective val="30"/>
    </c:view3D>
    <c:plotArea>
      <c:layout>
        <c:manualLayout>
          <c:layoutTarget val="inner"/>
          <c:xMode val="edge"/>
          <c:yMode val="edge"/>
          <c:x val="6.9264249174481082E-2"/>
          <c:y val="0.16538208717549913"/>
          <c:w val="0.59828425837070176"/>
          <c:h val="0.73978354256934442"/>
        </c:manualLayout>
      </c:layout>
      <c:pie3DChart>
        <c:varyColors val="1"/>
        <c:ser>
          <c:idx val="0"/>
          <c:order val="0"/>
          <c:explosion val="25"/>
          <c:dLbls>
            <c:dLbl>
              <c:idx val="0"/>
              <c:layout>
                <c:manualLayout>
                  <c:x val="-6.0691118072170286E-2"/>
                  <c:y val="-3.3022433178810984E-2"/>
                </c:manualLayout>
              </c:layout>
              <c:showLegendKey val="1"/>
              <c:showPercent val="1"/>
            </c:dLbl>
            <c:dLbl>
              <c:idx val="2"/>
              <c:layout>
                <c:manualLayout>
                  <c:x val="-5.9476060751165016E-2"/>
                  <c:y val="7.6558797885370483E-2"/>
                </c:manualLayout>
              </c:layout>
              <c:showLegendKey val="1"/>
              <c:showPercent val="1"/>
            </c:dLbl>
            <c:dLbl>
              <c:idx val="3"/>
              <c:layout>
                <c:manualLayout>
                  <c:x val="-1.2524122961827673E-2"/>
                  <c:y val="-8.1760811136979382E-3"/>
                </c:manualLayout>
              </c:layout>
              <c:showLegendKey val="1"/>
              <c:showPercent val="1"/>
            </c:dLbl>
            <c:dLbl>
              <c:idx val="4"/>
              <c:layout>
                <c:manualLayout>
                  <c:x val="4.7972905735672727E-3"/>
                  <c:y val="-5.1148471976705821E-2"/>
                </c:manualLayout>
              </c:layout>
              <c:showLegendKey val="1"/>
              <c:showPercent val="1"/>
            </c:dLbl>
            <c:dLbl>
              <c:idx val="5"/>
              <c:layout>
                <c:manualLayout>
                  <c:x val="2.3590109096599866E-3"/>
                  <c:y val="-2.7154594444537865E-2"/>
                </c:manualLayout>
              </c:layout>
              <c:showLegendKey val="1"/>
              <c:showPercent val="1"/>
            </c:dLbl>
            <c:txPr>
              <a:bodyPr/>
              <a:lstStyle/>
              <a:p>
                <a:pPr>
                  <a:defRPr sz="1050" b="1">
                    <a:latin typeface="Times New Roman" panose="02020603050405020304" pitchFamily="18" charset="0"/>
                    <a:cs typeface="Times New Roman" panose="02020603050405020304" pitchFamily="18" charset="0"/>
                  </a:defRPr>
                </a:pPr>
                <a:endParaRPr lang="cs-CZ"/>
              </a:p>
            </c:txPr>
            <c:showLegendKey val="1"/>
            <c:showPercent val="1"/>
            <c:showLeaderLines val="1"/>
          </c:dLbls>
          <c:cat>
            <c:strRef>
              <c:f>List1!$Q$15:$Q$20</c:f>
              <c:strCache>
                <c:ptCount val="6"/>
                <c:pt idx="0">
                  <c:v>násilná</c:v>
                </c:pt>
                <c:pt idx="1">
                  <c:v>mravnostní</c:v>
                </c:pt>
                <c:pt idx="2">
                  <c:v>majetková</c:v>
                </c:pt>
                <c:pt idx="3">
                  <c:v>hospodářská</c:v>
                </c:pt>
                <c:pt idx="4">
                  <c:v>zbývající</c:v>
                </c:pt>
                <c:pt idx="5">
                  <c:v>ostatní</c:v>
                </c:pt>
              </c:strCache>
            </c:strRef>
          </c:cat>
          <c:val>
            <c:numRef>
              <c:f>List1!$R$15:$R$20</c:f>
              <c:numCache>
                <c:formatCode>General</c:formatCode>
                <c:ptCount val="6"/>
                <c:pt idx="0">
                  <c:v>13553</c:v>
                </c:pt>
                <c:pt idx="1">
                  <c:v>2655</c:v>
                </c:pt>
                <c:pt idx="2">
                  <c:v>98670</c:v>
                </c:pt>
                <c:pt idx="3">
                  <c:v>24837</c:v>
                </c:pt>
                <c:pt idx="4">
                  <c:v>26703</c:v>
                </c:pt>
                <c:pt idx="5">
                  <c:v>25974</c:v>
                </c:pt>
              </c:numCache>
            </c:numRef>
          </c:val>
        </c:ser>
      </c:pie3DChart>
    </c:plotArea>
    <c:legend>
      <c:legendPos val="r"/>
      <c:txPr>
        <a:bodyPr/>
        <a:lstStyle/>
        <a:p>
          <a:pPr>
            <a:defRPr sz="1050" b="0">
              <a:latin typeface="Times New Roman" panose="02020603050405020304" pitchFamily="18" charset="0"/>
              <a:cs typeface="Times New Roman" panose="02020603050405020304" pitchFamily="18" charset="0"/>
            </a:defRPr>
          </a:pPr>
          <a:endParaRPr lang="cs-CZ"/>
        </a:p>
      </c:txPr>
    </c:legend>
    <c:plotVisOnly val="1"/>
    <c:dispBlanksAs val="zero"/>
  </c:chart>
  <c:externalData r:id="rId1"/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cs-CZ"/>
  <c:chart>
    <c:view3D>
      <c:rotX val="30"/>
      <c:perspective val="30"/>
    </c:view3D>
    <c:plotArea>
      <c:layout>
        <c:manualLayout>
          <c:layoutTarget val="inner"/>
          <c:xMode val="edge"/>
          <c:yMode val="edge"/>
          <c:x val="8.0671916010498695E-2"/>
          <c:y val="0.10714285714285714"/>
          <c:w val="0.6405181539807524"/>
          <c:h val="0.76587301587301615"/>
        </c:manualLayout>
      </c:layout>
      <c:pie3DChart>
        <c:varyColors val="1"/>
        <c:ser>
          <c:idx val="0"/>
          <c:order val="0"/>
          <c:explosion val="25"/>
          <c:dLbls>
            <c:dLbl>
              <c:idx val="0"/>
              <c:layout>
                <c:manualLayout>
                  <c:x val="-4.8070866141732282E-3"/>
                  <c:y val="-4.2158011498562679E-2"/>
                </c:manualLayout>
              </c:layout>
              <c:tx>
                <c:rich>
                  <a:bodyPr/>
                  <a:lstStyle/>
                  <a:p>
                    <a:r>
                      <a:rPr lang="en-US" sz="1050" b="1">
                        <a:latin typeface="Times New Roman" panose="02020603050405020304" pitchFamily="18" charset="0"/>
                        <a:cs typeface="Times New Roman" panose="02020603050405020304" pitchFamily="18" charset="0"/>
                      </a:rPr>
                      <a:t>2</a:t>
                    </a:r>
                    <a:r>
                      <a:rPr lang="cs-CZ" sz="1050" b="1">
                        <a:latin typeface="Times New Roman" panose="02020603050405020304" pitchFamily="18" charset="0"/>
                        <a:cs typeface="Times New Roman" panose="02020603050405020304" pitchFamily="18" charset="0"/>
                      </a:rPr>
                      <a:t> </a:t>
                    </a:r>
                    <a:r>
                      <a:rPr lang="en-US" sz="1050" b="1">
                        <a:latin typeface="Times New Roman" panose="02020603050405020304" pitchFamily="18" charset="0"/>
                        <a:cs typeface="Times New Roman" panose="02020603050405020304" pitchFamily="18" charset="0"/>
                      </a:rPr>
                      <a:t>%</a:t>
                    </a:r>
                    <a:endParaRPr lang="en-US"/>
                  </a:p>
                </c:rich>
              </c:tx>
              <c:showPercent val="1"/>
            </c:dLbl>
            <c:dLbl>
              <c:idx val="1"/>
              <c:tx>
                <c:rich>
                  <a:bodyPr/>
                  <a:lstStyle/>
                  <a:p>
                    <a:r>
                      <a:rPr lang="en-US" sz="1050" b="1">
                        <a:latin typeface="Times New Roman" panose="02020603050405020304" pitchFamily="18" charset="0"/>
                        <a:cs typeface="Times New Roman" panose="02020603050405020304" pitchFamily="18" charset="0"/>
                      </a:rPr>
                      <a:t>3</a:t>
                    </a:r>
                    <a:r>
                      <a:rPr lang="cs-CZ" sz="1050" b="1">
                        <a:latin typeface="Times New Roman" panose="02020603050405020304" pitchFamily="18" charset="0"/>
                        <a:cs typeface="Times New Roman" panose="02020603050405020304" pitchFamily="18" charset="0"/>
                      </a:rPr>
                      <a:t> </a:t>
                    </a:r>
                    <a:r>
                      <a:rPr lang="en-US" sz="1050" b="1">
                        <a:latin typeface="Times New Roman" panose="02020603050405020304" pitchFamily="18" charset="0"/>
                        <a:cs typeface="Times New Roman" panose="02020603050405020304" pitchFamily="18" charset="0"/>
                      </a:rPr>
                      <a:t>%</a:t>
                    </a:r>
                    <a:endParaRPr lang="en-US"/>
                  </a:p>
                </c:rich>
              </c:tx>
              <c:showPercent val="1"/>
            </c:dLbl>
            <c:dLbl>
              <c:idx val="2"/>
              <c:layout>
                <c:manualLayout>
                  <c:x val="3.9718460101655369E-2"/>
                  <c:y val="-4.0370344331958505E-2"/>
                </c:manualLayout>
              </c:layout>
              <c:tx>
                <c:rich>
                  <a:bodyPr/>
                  <a:lstStyle/>
                  <a:p>
                    <a:r>
                      <a:rPr lang="en-US" sz="1050" b="1">
                        <a:latin typeface="Times New Roman" panose="02020603050405020304" pitchFamily="18" charset="0"/>
                        <a:cs typeface="Times New Roman" panose="02020603050405020304" pitchFamily="18" charset="0"/>
                      </a:rPr>
                      <a:t>7</a:t>
                    </a:r>
                    <a:r>
                      <a:rPr lang="cs-CZ" sz="1050" b="1">
                        <a:latin typeface="Times New Roman" panose="02020603050405020304" pitchFamily="18" charset="0"/>
                        <a:cs typeface="Times New Roman" panose="02020603050405020304" pitchFamily="18" charset="0"/>
                      </a:rPr>
                      <a:t> </a:t>
                    </a:r>
                    <a:r>
                      <a:rPr lang="en-US" sz="1050" b="1">
                        <a:latin typeface="Times New Roman" panose="02020603050405020304" pitchFamily="18" charset="0"/>
                        <a:cs typeface="Times New Roman" panose="02020603050405020304" pitchFamily="18" charset="0"/>
                      </a:rPr>
                      <a:t>%</a:t>
                    </a:r>
                    <a:endParaRPr lang="en-US"/>
                  </a:p>
                </c:rich>
              </c:tx>
              <c:showPercent val="1"/>
            </c:dLbl>
            <c:dLbl>
              <c:idx val="3"/>
              <c:layout>
                <c:manualLayout>
                  <c:x val="-8.3663686230092654E-2"/>
                  <c:y val="0.32968527476666337"/>
                </c:manualLayout>
              </c:layout>
              <c:tx>
                <c:rich>
                  <a:bodyPr/>
                  <a:lstStyle/>
                  <a:p>
                    <a:r>
                      <a:rPr lang="en-US" sz="1050" b="1">
                        <a:latin typeface="Times New Roman" panose="02020603050405020304" pitchFamily="18" charset="0"/>
                        <a:cs typeface="Times New Roman" panose="02020603050405020304" pitchFamily="18" charset="0"/>
                      </a:rPr>
                      <a:t>31</a:t>
                    </a:r>
                    <a:r>
                      <a:rPr lang="cs-CZ" sz="1050" b="1">
                        <a:latin typeface="Times New Roman" panose="02020603050405020304" pitchFamily="18" charset="0"/>
                        <a:cs typeface="Times New Roman" panose="02020603050405020304" pitchFamily="18" charset="0"/>
                      </a:rPr>
                      <a:t> </a:t>
                    </a:r>
                    <a:r>
                      <a:rPr lang="en-US" sz="1050" b="1">
                        <a:latin typeface="Times New Roman" panose="02020603050405020304" pitchFamily="18" charset="0"/>
                        <a:cs typeface="Times New Roman" panose="02020603050405020304" pitchFamily="18" charset="0"/>
                      </a:rPr>
                      <a:t>%</a:t>
                    </a:r>
                    <a:endParaRPr lang="en-US"/>
                  </a:p>
                </c:rich>
              </c:tx>
              <c:showPercent val="1"/>
            </c:dLbl>
            <c:dLbl>
              <c:idx val="4"/>
              <c:layout>
                <c:manualLayout>
                  <c:x val="0.18969752743562662"/>
                  <c:y val="0.33853912879724135"/>
                </c:manualLayout>
              </c:layout>
              <c:tx>
                <c:rich>
                  <a:bodyPr/>
                  <a:lstStyle/>
                  <a:p>
                    <a:pPr>
                      <a:defRPr sz="1050" b="1">
                        <a:latin typeface="Times New Roman" panose="02020603050405020304" pitchFamily="18" charset="0"/>
                        <a:cs typeface="Times New Roman" panose="02020603050405020304" pitchFamily="18" charset="0"/>
                      </a:defRPr>
                    </a:pPr>
                    <a:r>
                      <a:rPr lang="en-US" sz="1050" b="1">
                        <a:latin typeface="Times New Roman" panose="02020603050405020304" pitchFamily="18" charset="0"/>
                        <a:cs typeface="Times New Roman" panose="02020603050405020304" pitchFamily="18" charset="0"/>
                      </a:rPr>
                      <a:t>54</a:t>
                    </a:r>
                    <a:r>
                      <a:rPr lang="cs-CZ" sz="1050" b="1">
                        <a:latin typeface="Times New Roman" panose="02020603050405020304" pitchFamily="18" charset="0"/>
                        <a:cs typeface="Times New Roman" panose="02020603050405020304" pitchFamily="18" charset="0"/>
                      </a:rPr>
                      <a:t> </a:t>
                    </a:r>
                    <a:r>
                      <a:rPr lang="en-US" sz="1050" b="1">
                        <a:latin typeface="Times New Roman" panose="02020603050405020304" pitchFamily="18" charset="0"/>
                        <a:cs typeface="Times New Roman" panose="02020603050405020304" pitchFamily="18" charset="0"/>
                      </a:rPr>
                      <a:t>%</a:t>
                    </a:r>
                    <a:endParaRPr lang="en-US"/>
                  </a:p>
                </c:rich>
              </c:tx>
              <c:numFmt formatCode="0.00%" sourceLinked="0"/>
              <c:spPr/>
              <c:showPercent val="1"/>
            </c:dLbl>
            <c:dLbl>
              <c:idx val="5"/>
              <c:layout>
                <c:manualLayout>
                  <c:x val="-6.2832211351516537E-2"/>
                  <c:y val="-4.9556305461817274E-3"/>
                </c:manualLayout>
              </c:layout>
              <c:tx>
                <c:rich>
                  <a:bodyPr/>
                  <a:lstStyle/>
                  <a:p>
                    <a:r>
                      <a:rPr lang="en-US" sz="1050" b="1" dirty="0">
                        <a:latin typeface="Times New Roman" panose="02020603050405020304" pitchFamily="18" charset="0"/>
                        <a:cs typeface="Times New Roman" panose="02020603050405020304" pitchFamily="18" charset="0"/>
                      </a:rPr>
                      <a:t>2</a:t>
                    </a:r>
                    <a:r>
                      <a:rPr lang="cs-CZ" sz="1050" b="1" dirty="0">
                        <a:latin typeface="Times New Roman" panose="02020603050405020304" pitchFamily="18" charset="0"/>
                        <a:cs typeface="Times New Roman" panose="02020603050405020304" pitchFamily="18" charset="0"/>
                      </a:rPr>
                      <a:t> </a:t>
                    </a:r>
                    <a:r>
                      <a:rPr lang="en-US" sz="1050" b="1" dirty="0">
                        <a:latin typeface="Times New Roman" panose="02020603050405020304" pitchFamily="18" charset="0"/>
                        <a:cs typeface="Times New Roman" panose="02020603050405020304" pitchFamily="18" charset="0"/>
                      </a:rPr>
                      <a:t>%</a:t>
                    </a:r>
                    <a:endParaRPr lang="en-US" dirty="0"/>
                  </a:p>
                </c:rich>
              </c:tx>
              <c:showPercent val="1"/>
            </c:dLbl>
            <c:numFmt formatCode="0%" sourceLinked="0"/>
            <c:txPr>
              <a:bodyPr/>
              <a:lstStyle/>
              <a:p>
                <a:pPr>
                  <a:defRPr sz="1050" b="1">
                    <a:latin typeface="Times New Roman" panose="02020603050405020304" pitchFamily="18" charset="0"/>
                    <a:cs typeface="Times New Roman" panose="02020603050405020304" pitchFamily="18" charset="0"/>
                  </a:defRPr>
                </a:pPr>
                <a:endParaRPr lang="cs-CZ"/>
              </a:p>
            </c:txPr>
            <c:showPercent val="1"/>
            <c:showLeaderLines val="1"/>
          </c:dLbls>
          <c:cat>
            <c:strRef>
              <c:f>'[Věk 2018.xlsx]List1'!$A$2:$A$7</c:f>
              <c:strCache>
                <c:ptCount val="6"/>
                <c:pt idx="0">
                  <c:v>0 -14 let</c:v>
                </c:pt>
                <c:pt idx="1">
                  <c:v>15 - 17  let</c:v>
                </c:pt>
                <c:pt idx="2">
                  <c:v>18 - 20  let</c:v>
                </c:pt>
                <c:pt idx="3">
                  <c:v>21 - 30  let</c:v>
                </c:pt>
                <c:pt idx="4">
                  <c:v>31 - 65  let</c:v>
                </c:pt>
                <c:pt idx="5">
                  <c:v>66 let a více</c:v>
                </c:pt>
              </c:strCache>
            </c:strRef>
          </c:cat>
          <c:val>
            <c:numRef>
              <c:f>'[Věk 2018.xlsx]List1'!$B$2:$B$7</c:f>
              <c:numCache>
                <c:formatCode>#,##0</c:formatCode>
                <c:ptCount val="6"/>
                <c:pt idx="0" formatCode="General">
                  <c:v>1727</c:v>
                </c:pt>
                <c:pt idx="1">
                  <c:v>2423</c:v>
                </c:pt>
                <c:pt idx="2">
                  <c:v>5842</c:v>
                </c:pt>
                <c:pt idx="3">
                  <c:v>26702</c:v>
                </c:pt>
                <c:pt idx="4">
                  <c:v>46872</c:v>
                </c:pt>
                <c:pt idx="5">
                  <c:v>1435</c:v>
                </c:pt>
              </c:numCache>
            </c:numRef>
          </c:val>
        </c:ser>
      </c:pie3DChart>
    </c:plotArea>
    <c:legend>
      <c:legendPos val="r"/>
      <c:txPr>
        <a:bodyPr/>
        <a:lstStyle/>
        <a:p>
          <a:pPr>
            <a:defRPr sz="1050" b="1">
              <a:latin typeface="Times New Roman" panose="02020603050405020304" pitchFamily="18" charset="0"/>
              <a:cs typeface="Times New Roman" panose="02020603050405020304" pitchFamily="18" charset="0"/>
            </a:defRPr>
          </a:pPr>
          <a:endParaRPr lang="cs-CZ"/>
        </a:p>
      </c:txPr>
    </c:legend>
    <c:plotVisOnly val="1"/>
    <c:dispBlanksAs val="zero"/>
  </c:chart>
  <c:externalData r:id="rId1"/>
</c:chartSpace>
</file>

<file path=word/drawings/drawing1.xml><?xml version="1.0" encoding="utf-8"?>
<c:userShapes xmlns:c="http://schemas.openxmlformats.org/drawingml/2006/chart">
  <cdr:relSizeAnchor xmlns:cdr="http://schemas.openxmlformats.org/drawingml/2006/chartDrawing">
    <cdr:from>
      <cdr:x>0.30535</cdr:x>
      <cdr:y>0.377</cdr:y>
    </cdr:from>
    <cdr:to>
      <cdr:x>0.6609</cdr:x>
      <cdr:y>0.43875</cdr:y>
    </cdr:to>
    <cdr:sp macro="" textlink="">
      <cdr:nvSpPr>
        <cdr:cNvPr id="2" name="TextovéPole 1"/>
        <cdr:cNvSpPr txBox="1"/>
      </cdr:nvSpPr>
      <cdr:spPr>
        <a:xfrm xmlns:a="http://schemas.openxmlformats.org/drawingml/2006/main">
          <a:off x="1749734" y="1192189"/>
          <a:ext cx="2037405" cy="195272"/>
        </a:xfrm>
        <a:prstGeom xmlns:a="http://schemas.openxmlformats.org/drawingml/2006/main" prst="rect">
          <a:avLst/>
        </a:prstGeom>
        <a:solidFill xmlns:a="http://schemas.openxmlformats.org/drawingml/2006/main">
          <a:srgbClr val="FFFF00"/>
        </a:solidFill>
      </cdr:spPr>
      <cdr:txBody>
        <a:bodyPr xmlns:a="http://schemas.openxmlformats.org/drawingml/2006/main" vertOverflow="clip" wrap="none" rtlCol="0"/>
        <a:lstStyle xmlns:a="http://schemas.openxmlformats.org/drawingml/2006/main"/>
        <a:p xmlns:a="http://schemas.openxmlformats.org/drawingml/2006/main">
          <a:r>
            <a:rPr lang="cs-CZ" sz="1100" b="1" dirty="0" smtClean="0">
              <a:latin typeface="Times New Roman" panose="02020603050405020304" pitchFamily="18" charset="0"/>
              <a:cs typeface="Times New Roman" panose="02020603050405020304" pitchFamily="18" charset="0"/>
            </a:rPr>
            <a:t>2018 pokračující klesající trend</a:t>
          </a:r>
          <a:endParaRPr lang="cs-CZ" sz="1100" b="1" dirty="0">
            <a:latin typeface="Times New Roman" panose="02020603050405020304" pitchFamily="18" charset="0"/>
            <a:cs typeface="Times New Roman" panose="02020603050405020304" pitchFamily="18" charset="0"/>
          </a:endParaRPr>
        </a:p>
      </cdr:txBody>
    </cdr:sp>
  </cdr:relSizeAnchor>
  <cdr:relSizeAnchor xmlns:cdr="http://schemas.openxmlformats.org/drawingml/2006/chartDrawing">
    <cdr:from>
      <cdr:x>0.90264</cdr:x>
      <cdr:y>0.83095</cdr:y>
    </cdr:from>
    <cdr:to>
      <cdr:x>0.98489</cdr:x>
      <cdr:y>0.89157</cdr:y>
    </cdr:to>
    <cdr:sp macro="" textlink="">
      <cdr:nvSpPr>
        <cdr:cNvPr id="3" name="Ovál 2"/>
        <cdr:cNvSpPr/>
      </cdr:nvSpPr>
      <cdr:spPr>
        <a:xfrm xmlns:a="http://schemas.openxmlformats.org/drawingml/2006/main">
          <a:off x="5172324" y="2627704"/>
          <a:ext cx="471313" cy="191695"/>
        </a:xfrm>
        <a:prstGeom xmlns:a="http://schemas.openxmlformats.org/drawingml/2006/main" prst="ellipse">
          <a:avLst/>
        </a:prstGeom>
        <a:noFill xmlns:a="http://schemas.openxmlformats.org/drawingml/2006/main"/>
        <a:ln xmlns:a="http://schemas.openxmlformats.org/drawingml/2006/main" w="28575">
          <a:solidFill>
            <a:srgbClr val="00B050"/>
          </a:solidFill>
        </a:ln>
      </cdr:spPr>
      <cdr:style>
        <a:lnRef xmlns:a="http://schemas.openxmlformats.org/drawingml/2006/main" idx="2">
          <a:schemeClr val="accent1">
            <a:shade val="50000"/>
          </a:schemeClr>
        </a:lnRef>
        <a:fillRef xmlns:a="http://schemas.openxmlformats.org/drawingml/2006/main" idx="1">
          <a:schemeClr val="accent1"/>
        </a:fillRef>
        <a:effectRef xmlns:a="http://schemas.openxmlformats.org/drawingml/2006/main" idx="0">
          <a:schemeClr val="accent1"/>
        </a:effectRef>
        <a:fontRef xmlns:a="http://schemas.openxmlformats.org/drawingml/2006/main" idx="minor">
          <a:schemeClr val="lt1"/>
        </a:fontRef>
      </cdr:style>
      <cdr:txBody>
        <a:bodyPr xmlns:a="http://schemas.openxmlformats.org/drawingml/2006/main" vertOverflow="clip"/>
        <a:lstStyle xmlns:a="http://schemas.openxmlformats.org/drawingml/2006/main"/>
        <a:p xmlns:a="http://schemas.openxmlformats.org/drawingml/2006/main">
          <a:endParaRPr lang="cs-CZ">
            <a:ln>
              <a:solidFill>
                <a:schemeClr val="tx1"/>
              </a:solidFill>
            </a:ln>
            <a:solidFill>
              <a:schemeClr val="tx1"/>
            </a:solidFill>
          </a:endParaRPr>
        </a:p>
      </cdr:txBody>
    </cdr:sp>
  </cdr:relSizeAnchor>
</c:userShape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Kancelář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Kancelář">
    <a:majorFont>
      <a:latin typeface="Calibri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Špendlík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180000"/>
              <a:lumMod val="100000"/>
            </a:schemeClr>
          </a:gs>
          <a:gs pos="40000">
            <a:schemeClr val="phClr">
              <a:tint val="60000"/>
              <a:satMod val="130000"/>
              <a:lumMod val="100000"/>
            </a:schemeClr>
          </a:gs>
          <a:gs pos="100000">
            <a:schemeClr val="phClr">
              <a:tint val="96000"/>
              <a:lumMod val="108000"/>
            </a:schemeClr>
          </a:gs>
        </a:gsLst>
        <a:lin ang="5400000" scaled="0"/>
      </a:gradFill>
      <a:gradFill rotWithShape="1">
        <a:gsLst>
          <a:gs pos="0">
            <a:schemeClr val="phClr"/>
          </a:gs>
          <a:gs pos="100000">
            <a:schemeClr val="phClr">
              <a:shade val="76000"/>
              <a:lumMod val="90000"/>
            </a:schemeClr>
          </a:gs>
        </a:gsLst>
        <a:lin ang="5400000" scaled="0"/>
      </a:gradFill>
    </a:fillStyleLst>
    <a:lnStyleLst>
      <a:ln w="9525" cap="flat" cmpd="sng" algn="ctr">
        <a:solidFill>
          <a:schemeClr val="phClr"/>
        </a:solidFill>
        <a:prstDash val="solid"/>
      </a:ln>
      <a:ln w="15875" cap="flat" cmpd="sng" algn="ctr">
        <a:solidFill>
          <a:schemeClr val="phClr">
            <a:shade val="80000"/>
            <a:lumMod val="90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</a:lnStyleLst>
    <a:effectStyleLst>
      <a:effectStyle>
        <a:effectLst/>
      </a:effectStyle>
      <a:effectStyle>
        <a:effectLst>
          <a:outerShdw blurRad="38100" dist="38100" dir="4800000" sx="98000" sy="98000" rotWithShape="0">
            <a:srgbClr val="000000">
              <a:alpha val="32000"/>
            </a:srgbClr>
          </a:outerShdw>
        </a:effectLst>
      </a:effectStyle>
      <a:effectStyle>
        <a:effectLst>
          <a:outerShdw blurRad="38100" dist="38100" dir="4800000" sx="96000" sy="96000" rotWithShape="0">
            <a:srgbClr val="000000">
              <a:alpha val="40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3240000"/>
          </a:lightRig>
        </a:scene3d>
        <a:sp3d>
          <a:bevelT w="28575" h="28575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3</Pages>
  <Words>510</Words>
  <Characters>3011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Diblíková Simona JUDr.</dc:creator>
  <cp:lastModifiedBy>HeLi</cp:lastModifiedBy>
  <cp:revision>3</cp:revision>
  <cp:lastPrinted>2018-09-24T10:30:00Z</cp:lastPrinted>
  <dcterms:created xsi:type="dcterms:W3CDTF">2020-03-23T06:49:00Z</dcterms:created>
  <dcterms:modified xsi:type="dcterms:W3CDTF">2020-03-23T06:58:00Z</dcterms:modified>
</cp:coreProperties>
</file>